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F5F77" w14:textId="2A2A926B" w:rsidR="0092714D" w:rsidRDefault="00D67D0D" w:rsidP="0092714D">
      <w:pPr>
        <w:pStyle w:val="Heading1"/>
      </w:pPr>
      <w:r>
        <w:t>PROPOSED</w:t>
      </w:r>
      <w:r w:rsidRPr="00BF661E">
        <w:t xml:space="preserve"> CONSTITUT</w:t>
      </w:r>
      <w:r w:rsidR="00E80263" w:rsidRPr="00BF661E">
        <w:t xml:space="preserve">ION OF </w:t>
      </w:r>
      <w:r w:rsidR="00E80263" w:rsidRPr="00E80263">
        <w:t>MEDICAL AFFAIRS PROFESSIONALS OF AUSTRALASIA</w:t>
      </w:r>
      <w:r w:rsidR="00E80263" w:rsidRPr="003522F3">
        <w:rPr>
          <w:lang w:val="en-US"/>
        </w:rPr>
        <w:t xml:space="preserve"> </w:t>
      </w:r>
      <w:r w:rsidR="005005A2" w:rsidRPr="005005A2">
        <w:t>LTD</w:t>
      </w:r>
      <w:r w:rsidR="005005A2" w:rsidRPr="00526EC9">
        <w:t xml:space="preserve"> </w:t>
      </w:r>
      <w:r>
        <w:t>(</w:t>
      </w:r>
      <w:r w:rsidR="00E80263">
        <w:rPr>
          <w:b/>
          <w:bCs/>
        </w:rPr>
        <w:t>MAPA</w:t>
      </w:r>
      <w:r w:rsidR="005D6A83">
        <w:t>)</w:t>
      </w:r>
    </w:p>
    <w:p w14:paraId="67DE3716" w14:textId="77777777" w:rsidR="0092714D" w:rsidRDefault="0092714D" w:rsidP="0092714D">
      <w:pPr>
        <w:pStyle w:val="Heading1"/>
      </w:pPr>
      <w:r w:rsidRPr="00BF661E">
        <w:t>Summary of key constitutional changes</w:t>
      </w:r>
    </w:p>
    <w:p w14:paraId="52F4458C" w14:textId="77777777" w:rsidR="0092714D" w:rsidRPr="00C62444" w:rsidRDefault="0092714D" w:rsidP="0092714D"/>
    <w:p w14:paraId="742A6662" w14:textId="23678CBF" w:rsidR="003522F3" w:rsidRDefault="00035FAB" w:rsidP="003522F3">
      <w:pPr>
        <w:rPr>
          <w:szCs w:val="22"/>
        </w:rPr>
      </w:pPr>
      <w:r w:rsidRPr="00035FAB">
        <w:rPr>
          <w:color w:val="000000" w:themeColor="text1"/>
        </w:rPr>
        <w:t xml:space="preserve">In view of the scale and nature of </w:t>
      </w:r>
      <w:r>
        <w:rPr>
          <w:color w:val="000000" w:themeColor="text1"/>
        </w:rPr>
        <w:t>MAPA’s</w:t>
      </w:r>
      <w:r w:rsidRPr="00035FAB">
        <w:rPr>
          <w:color w:val="000000" w:themeColor="text1"/>
        </w:rPr>
        <w:t xml:space="preserve"> operations, the </w:t>
      </w:r>
      <w:r>
        <w:rPr>
          <w:color w:val="000000" w:themeColor="text1"/>
        </w:rPr>
        <w:t xml:space="preserve">Executive Committee </w:t>
      </w:r>
      <w:r w:rsidRPr="00035FAB">
        <w:rPr>
          <w:color w:val="000000" w:themeColor="text1"/>
        </w:rPr>
        <w:t xml:space="preserve">has reviewed </w:t>
      </w:r>
      <w:r>
        <w:rPr>
          <w:color w:val="000000" w:themeColor="text1"/>
        </w:rPr>
        <w:t>MAPA’s legal structure</w:t>
      </w:r>
      <w:r w:rsidRPr="00035FAB">
        <w:rPr>
          <w:color w:val="000000" w:themeColor="text1"/>
        </w:rPr>
        <w:t xml:space="preserve"> and believes that registration pursuant to the </w:t>
      </w:r>
      <w:r w:rsidRPr="00974212">
        <w:rPr>
          <w:i/>
          <w:iCs/>
          <w:color w:val="000000" w:themeColor="text1"/>
        </w:rPr>
        <w:t>Corporations Act 2001</w:t>
      </w:r>
      <w:r w:rsidRPr="00035FAB">
        <w:rPr>
          <w:color w:val="000000" w:themeColor="text1"/>
        </w:rPr>
        <w:t xml:space="preserve"> (</w:t>
      </w:r>
      <w:proofErr w:type="spellStart"/>
      <w:r w:rsidRPr="00035FAB">
        <w:rPr>
          <w:color w:val="000000" w:themeColor="text1"/>
        </w:rPr>
        <w:t>Cth</w:t>
      </w:r>
      <w:proofErr w:type="spellEnd"/>
      <w:r w:rsidRPr="00035FAB">
        <w:rPr>
          <w:color w:val="000000" w:themeColor="text1"/>
        </w:rPr>
        <w:t xml:space="preserve">) to be more appropriate for </w:t>
      </w:r>
      <w:r>
        <w:rPr>
          <w:color w:val="000000" w:themeColor="text1"/>
        </w:rPr>
        <w:t>MAPA</w:t>
      </w:r>
      <w:r w:rsidRPr="00035FAB">
        <w:rPr>
          <w:color w:val="000000" w:themeColor="text1"/>
        </w:rPr>
        <w:t xml:space="preserve"> than continuing </w:t>
      </w:r>
      <w:r>
        <w:rPr>
          <w:color w:val="000000" w:themeColor="text1"/>
        </w:rPr>
        <w:t>a</w:t>
      </w:r>
      <w:r w:rsidR="00974212">
        <w:rPr>
          <w:color w:val="000000" w:themeColor="text1"/>
        </w:rPr>
        <w:t xml:space="preserve">s </w:t>
      </w:r>
      <w:proofErr w:type="gramStart"/>
      <w:r w:rsidR="00974212">
        <w:rPr>
          <w:color w:val="000000" w:themeColor="text1"/>
        </w:rPr>
        <w:t>a</w:t>
      </w:r>
      <w:proofErr w:type="gramEnd"/>
      <w:r>
        <w:rPr>
          <w:color w:val="000000" w:themeColor="text1"/>
        </w:rPr>
        <w:t xml:space="preserve"> </w:t>
      </w:r>
      <w:r w:rsidR="002E35B6">
        <w:rPr>
          <w:color w:val="000000" w:themeColor="text1"/>
        </w:rPr>
        <w:t>NSW</w:t>
      </w:r>
      <w:r w:rsidR="003522F3">
        <w:rPr>
          <w:color w:val="000000" w:themeColor="text1"/>
        </w:rPr>
        <w:t xml:space="preserve"> </w:t>
      </w:r>
      <w:r w:rsidR="003522F3" w:rsidRPr="00807AE3">
        <w:rPr>
          <w:color w:val="000000" w:themeColor="text1"/>
        </w:rPr>
        <w:t xml:space="preserve">incorporated association pursuant to the </w:t>
      </w:r>
      <w:r w:rsidR="003522F3" w:rsidRPr="00EF2114">
        <w:rPr>
          <w:i/>
          <w:iCs/>
          <w:lang w:val="en-GB"/>
        </w:rPr>
        <w:t xml:space="preserve">Associations Incorporation Act </w:t>
      </w:r>
      <w:r w:rsidR="003522F3">
        <w:rPr>
          <w:i/>
          <w:iCs/>
          <w:lang w:val="en-GB"/>
        </w:rPr>
        <w:t>2009</w:t>
      </w:r>
      <w:r w:rsidR="003522F3" w:rsidRPr="00667461">
        <w:rPr>
          <w:lang w:val="en-GB"/>
        </w:rPr>
        <w:t xml:space="preserve"> (</w:t>
      </w:r>
      <w:r w:rsidR="003522F3">
        <w:t>NSW</w:t>
      </w:r>
      <w:r w:rsidR="003522F3" w:rsidRPr="00667461">
        <w:rPr>
          <w:lang w:val="en-GB"/>
        </w:rPr>
        <w:t>).</w:t>
      </w:r>
      <w:r w:rsidR="003522F3">
        <w:rPr>
          <w:i/>
          <w:iCs/>
          <w:color w:val="000000" w:themeColor="text1"/>
        </w:rPr>
        <w:t xml:space="preserve"> </w:t>
      </w:r>
      <w:r w:rsidR="003522F3" w:rsidRPr="004F096C">
        <w:rPr>
          <w:color w:val="000000" w:themeColor="text1"/>
        </w:rPr>
        <w:t xml:space="preserve">The </w:t>
      </w:r>
      <w:r w:rsidR="003522F3" w:rsidRPr="004F096C">
        <w:rPr>
          <w:i/>
          <w:iCs/>
          <w:color w:val="000000" w:themeColor="text1"/>
        </w:rPr>
        <w:t>Associations Incorporation Act</w:t>
      </w:r>
      <w:r w:rsidR="003522F3" w:rsidRPr="004F096C">
        <w:rPr>
          <w:color w:val="000000" w:themeColor="text1"/>
        </w:rPr>
        <w:t xml:space="preserve"> is designed to regulate small scale not-for-profit organisations</w:t>
      </w:r>
      <w:r w:rsidR="003522F3">
        <w:rPr>
          <w:color w:val="000000" w:themeColor="text1"/>
        </w:rPr>
        <w:t xml:space="preserve">. As </w:t>
      </w:r>
      <w:r w:rsidR="00E80263">
        <w:rPr>
          <w:color w:val="000000" w:themeColor="text1"/>
        </w:rPr>
        <w:t>MAPA</w:t>
      </w:r>
      <w:r w:rsidR="003522F3">
        <w:rPr>
          <w:color w:val="000000" w:themeColor="text1"/>
        </w:rPr>
        <w:t xml:space="preserve"> is also intending to apply for charity status, the incorporated association structure </w:t>
      </w:r>
      <w:r w:rsidR="00AC693E">
        <w:rPr>
          <w:color w:val="000000" w:themeColor="text1"/>
        </w:rPr>
        <w:t>may</w:t>
      </w:r>
      <w:r w:rsidR="003522F3">
        <w:rPr>
          <w:color w:val="000000" w:themeColor="text1"/>
        </w:rPr>
        <w:t xml:space="preserve"> not</w:t>
      </w:r>
      <w:r w:rsidR="00AC693E">
        <w:rPr>
          <w:color w:val="000000" w:themeColor="text1"/>
        </w:rPr>
        <w:t xml:space="preserve"> be</w:t>
      </w:r>
      <w:r w:rsidR="003522F3">
        <w:rPr>
          <w:color w:val="000000" w:themeColor="text1"/>
        </w:rPr>
        <w:t xml:space="preserve"> </w:t>
      </w:r>
      <w:r>
        <w:rPr>
          <w:color w:val="000000" w:themeColor="text1"/>
        </w:rPr>
        <w:t>the most</w:t>
      </w:r>
      <w:r w:rsidR="003522F3">
        <w:rPr>
          <w:color w:val="000000" w:themeColor="text1"/>
        </w:rPr>
        <w:t xml:space="preserve"> efficient model for </w:t>
      </w:r>
      <w:r w:rsidR="00E80263">
        <w:rPr>
          <w:color w:val="000000" w:themeColor="text1"/>
        </w:rPr>
        <w:t>MAPA</w:t>
      </w:r>
      <w:r w:rsidR="003522F3">
        <w:rPr>
          <w:color w:val="000000" w:themeColor="text1"/>
        </w:rPr>
        <w:t xml:space="preserve"> as it will create multiple reporting requirements to different regulators</w:t>
      </w:r>
      <w:r>
        <w:rPr>
          <w:color w:val="000000" w:themeColor="text1"/>
        </w:rPr>
        <w:t xml:space="preserve"> should MAPA attain charity registration</w:t>
      </w:r>
      <w:r w:rsidR="003522F3" w:rsidRPr="004F096C">
        <w:rPr>
          <w:color w:val="000000" w:themeColor="text1"/>
        </w:rPr>
        <w:t>.</w:t>
      </w:r>
      <w:r w:rsidR="003522F3">
        <w:rPr>
          <w:i/>
          <w:iCs/>
          <w:color w:val="000000" w:themeColor="text1"/>
        </w:rPr>
        <w:t xml:space="preserve"> </w:t>
      </w:r>
      <w:r w:rsidR="003522F3" w:rsidRPr="00807AE3">
        <w:rPr>
          <w:color w:val="000000" w:themeColor="text1"/>
        </w:rPr>
        <w:t xml:space="preserve">The </w:t>
      </w:r>
      <w:r w:rsidR="003522F3" w:rsidRPr="00807AE3">
        <w:rPr>
          <w:i/>
          <w:iCs/>
          <w:color w:val="000000" w:themeColor="text1"/>
        </w:rPr>
        <w:t>Corporations Act 2001</w:t>
      </w:r>
      <w:r w:rsidR="003522F3" w:rsidRPr="00807AE3">
        <w:rPr>
          <w:color w:val="000000" w:themeColor="text1"/>
        </w:rPr>
        <w:t xml:space="preserve"> (</w:t>
      </w:r>
      <w:proofErr w:type="spellStart"/>
      <w:r w:rsidR="003522F3" w:rsidRPr="00807AE3">
        <w:rPr>
          <w:color w:val="000000" w:themeColor="text1"/>
        </w:rPr>
        <w:t>Cth</w:t>
      </w:r>
      <w:proofErr w:type="spellEnd"/>
      <w:r w:rsidR="003522F3" w:rsidRPr="00807AE3">
        <w:rPr>
          <w:color w:val="000000" w:themeColor="text1"/>
        </w:rPr>
        <w:t>) allows not-for-profit entities to register as public companies that are limited by guarantee.</w:t>
      </w:r>
      <w:r w:rsidR="003522F3">
        <w:rPr>
          <w:color w:val="000000" w:themeColor="text1"/>
        </w:rPr>
        <w:t xml:space="preserve"> </w:t>
      </w:r>
      <w:r w:rsidR="00AC693E">
        <w:rPr>
          <w:color w:val="000000" w:themeColor="text1"/>
        </w:rPr>
        <w:t xml:space="preserve"> CLGs that are charities will have one primary regulator being the Australian Charities and Not-for-profits Commission (ACNC).</w:t>
      </w:r>
    </w:p>
    <w:p w14:paraId="19A6B5F0" w14:textId="77777777" w:rsidR="003522F3" w:rsidRDefault="003522F3" w:rsidP="003522F3">
      <w:pPr>
        <w:rPr>
          <w:szCs w:val="22"/>
        </w:rPr>
      </w:pPr>
    </w:p>
    <w:p w14:paraId="2B9E8717" w14:textId="0EC8AC02" w:rsidR="003522F3" w:rsidRPr="00667461" w:rsidRDefault="003522F3" w:rsidP="003522F3">
      <w:pPr>
        <w:rPr>
          <w:szCs w:val="22"/>
        </w:rPr>
      </w:pPr>
      <w:r>
        <w:t xml:space="preserve">The table below outlines the key changes in the proposed new constitution for </w:t>
      </w:r>
      <w:r w:rsidR="00E80263">
        <w:t>MAPA</w:t>
      </w:r>
      <w:r>
        <w:t xml:space="preserve"> Ltd compared to the current constitution of </w:t>
      </w:r>
      <w:r w:rsidR="00E80263" w:rsidRPr="005D2319">
        <w:rPr>
          <w:rFonts w:cstheme="minorHAnsi"/>
          <w:szCs w:val="21"/>
        </w:rPr>
        <w:t>Australian Pharmaceutical Physicians Association Inc t/a Medical Affairs Professionals of Australasia</w:t>
      </w:r>
      <w:r>
        <w:t>. The new constitution is drafted as a fresh document. It is not a marked-up amendment of the current constitution.</w:t>
      </w:r>
    </w:p>
    <w:p w14:paraId="7BB13B18" w14:textId="77777777" w:rsidR="003522F3" w:rsidRDefault="003522F3" w:rsidP="003522F3">
      <w:pPr>
        <w:rPr>
          <w:color w:val="000000" w:themeColor="text1"/>
        </w:rPr>
      </w:pPr>
    </w:p>
    <w:p w14:paraId="7DD62E99" w14:textId="76DF06B3" w:rsidR="009E00F0" w:rsidRPr="00521368" w:rsidRDefault="003522F3" w:rsidP="003522F3">
      <w:pPr>
        <w:rPr>
          <w:color w:val="000000" w:themeColor="text1"/>
        </w:rPr>
      </w:pPr>
      <w:r w:rsidRPr="00521368">
        <w:rPr>
          <w:color w:val="000000" w:themeColor="text1"/>
        </w:rPr>
        <w:t>Key changes include</w:t>
      </w:r>
      <w:r w:rsidR="00974212">
        <w:rPr>
          <w:color w:val="000000" w:themeColor="text1"/>
        </w:rPr>
        <w:t xml:space="preserve"> updating the legal name to reflect the trading name,</w:t>
      </w:r>
      <w:r w:rsidRPr="00521368">
        <w:rPr>
          <w:color w:val="000000" w:themeColor="text1"/>
        </w:rPr>
        <w:t xml:space="preserve"> revising the </w:t>
      </w:r>
      <w:r w:rsidR="00035FAB">
        <w:rPr>
          <w:color w:val="000000" w:themeColor="text1"/>
        </w:rPr>
        <w:t>Purposes</w:t>
      </w:r>
      <w:r w:rsidR="00035FAB" w:rsidRPr="00521368">
        <w:rPr>
          <w:color w:val="000000" w:themeColor="text1"/>
        </w:rPr>
        <w:t xml:space="preserve"> </w:t>
      </w:r>
      <w:r w:rsidRPr="00521368">
        <w:rPr>
          <w:color w:val="000000" w:themeColor="text1"/>
        </w:rPr>
        <w:t xml:space="preserve">to </w:t>
      </w:r>
      <w:r w:rsidR="00035FAB">
        <w:rPr>
          <w:color w:val="000000" w:themeColor="text1"/>
        </w:rPr>
        <w:t>support an application for charity registration</w:t>
      </w:r>
      <w:r w:rsidRPr="00521368">
        <w:rPr>
          <w:color w:val="000000" w:themeColor="text1"/>
        </w:rPr>
        <w:t xml:space="preserve">, </w:t>
      </w:r>
      <w:r w:rsidR="00F73A3E" w:rsidRPr="00521368">
        <w:rPr>
          <w:color w:val="000000" w:themeColor="text1"/>
        </w:rPr>
        <w:t xml:space="preserve">introducing </w:t>
      </w:r>
      <w:r w:rsidR="00521368" w:rsidRPr="00521368">
        <w:rPr>
          <w:color w:val="000000" w:themeColor="text1"/>
        </w:rPr>
        <w:t>Appointed Directors</w:t>
      </w:r>
      <w:r w:rsidR="00F73A3E" w:rsidRPr="00521368">
        <w:rPr>
          <w:color w:val="000000" w:themeColor="text1"/>
        </w:rPr>
        <w:t xml:space="preserve">, </w:t>
      </w:r>
      <w:r w:rsidR="00035FAB">
        <w:rPr>
          <w:color w:val="000000" w:themeColor="text1"/>
        </w:rPr>
        <w:t xml:space="preserve">the </w:t>
      </w:r>
      <w:r w:rsidR="00F73A3E" w:rsidRPr="00521368">
        <w:rPr>
          <w:color w:val="000000" w:themeColor="text1"/>
        </w:rPr>
        <w:t xml:space="preserve">Vice President and President to be </w:t>
      </w:r>
      <w:r w:rsidR="00521368" w:rsidRPr="00521368">
        <w:rPr>
          <w:color w:val="000000" w:themeColor="text1"/>
        </w:rPr>
        <w:t>appointed</w:t>
      </w:r>
      <w:r w:rsidR="00F73A3E" w:rsidRPr="00521368">
        <w:rPr>
          <w:color w:val="000000" w:themeColor="text1"/>
        </w:rPr>
        <w:t xml:space="preserve"> by the Board</w:t>
      </w:r>
      <w:r w:rsidR="00035FAB">
        <w:rPr>
          <w:color w:val="000000" w:themeColor="text1"/>
        </w:rPr>
        <w:t xml:space="preserve"> from amongst its number</w:t>
      </w:r>
      <w:r w:rsidR="00F73A3E" w:rsidRPr="00521368">
        <w:rPr>
          <w:color w:val="000000" w:themeColor="text1"/>
        </w:rPr>
        <w:t xml:space="preserve">, removing Treasurer, </w:t>
      </w:r>
      <w:r w:rsidR="00F73A3E" w:rsidRPr="00521368">
        <w:rPr>
          <w:color w:val="000000" w:themeColor="text1"/>
          <w:szCs w:val="22"/>
        </w:rPr>
        <w:t>Secretary</w:t>
      </w:r>
      <w:r w:rsidR="00F73A3E" w:rsidRPr="00521368">
        <w:rPr>
          <w:color w:val="000000" w:themeColor="text1"/>
        </w:rPr>
        <w:t xml:space="preserve"> and </w:t>
      </w:r>
      <w:r w:rsidR="00521368" w:rsidRPr="00521368">
        <w:rPr>
          <w:color w:val="000000" w:themeColor="text1"/>
          <w:szCs w:val="22"/>
        </w:rPr>
        <w:t>Immediate Past President</w:t>
      </w:r>
      <w:r w:rsidR="00F73A3E" w:rsidRPr="00521368">
        <w:rPr>
          <w:color w:val="000000" w:themeColor="text1"/>
        </w:rPr>
        <w:t xml:space="preserve"> as Office Bearers on the Board</w:t>
      </w:r>
      <w:r w:rsidR="00110A86" w:rsidRPr="00521368">
        <w:rPr>
          <w:color w:val="000000" w:themeColor="text1"/>
        </w:rPr>
        <w:t xml:space="preserve">, </w:t>
      </w:r>
      <w:r w:rsidR="00035FAB">
        <w:rPr>
          <w:color w:val="000000" w:themeColor="text1"/>
        </w:rPr>
        <w:t xml:space="preserve">and </w:t>
      </w:r>
      <w:r w:rsidR="00521368" w:rsidRPr="00521368">
        <w:rPr>
          <w:color w:val="000000" w:themeColor="text1"/>
        </w:rPr>
        <w:t xml:space="preserve">removing </w:t>
      </w:r>
      <w:r w:rsidR="00035FAB">
        <w:rPr>
          <w:color w:val="000000" w:themeColor="text1"/>
        </w:rPr>
        <w:t xml:space="preserve">impractical </w:t>
      </w:r>
      <w:r w:rsidR="00521368" w:rsidRPr="00521368">
        <w:rPr>
          <w:color w:val="000000" w:themeColor="text1"/>
        </w:rPr>
        <w:t>quorum threshold for changing constitution</w:t>
      </w:r>
      <w:r w:rsidRPr="00521368">
        <w:rPr>
          <w:color w:val="000000" w:themeColor="text1"/>
        </w:rPr>
        <w:t xml:space="preserve">. </w:t>
      </w:r>
    </w:p>
    <w:p w14:paraId="0339704E" w14:textId="77777777" w:rsidR="00521368" w:rsidRPr="00521368" w:rsidRDefault="00521368" w:rsidP="003522F3">
      <w:pPr>
        <w:rPr>
          <w:color w:val="000000" w:themeColor="text1"/>
        </w:rPr>
      </w:pPr>
    </w:p>
    <w:p w14:paraId="1F9957D5" w14:textId="5D54745F" w:rsidR="00521368" w:rsidRPr="00521368" w:rsidRDefault="00521368" w:rsidP="003522F3">
      <w:pPr>
        <w:rPr>
          <w:color w:val="000000" w:themeColor="text1"/>
        </w:rPr>
      </w:pPr>
      <w:r w:rsidRPr="00521368">
        <w:rPr>
          <w:color w:val="000000" w:themeColor="text1"/>
        </w:rPr>
        <w:t>There are no changes to the current classification of members as either Voting or Non-Voting, the classes have simply been formalised. The criteria within the classes will now sit in the By-laws.</w:t>
      </w:r>
    </w:p>
    <w:p w14:paraId="0C5C9FD9" w14:textId="77777777" w:rsidR="00521368" w:rsidRPr="00521368" w:rsidRDefault="00521368" w:rsidP="003522F3">
      <w:pPr>
        <w:rPr>
          <w:color w:val="000000" w:themeColor="text1"/>
        </w:rPr>
      </w:pPr>
    </w:p>
    <w:p w14:paraId="03CC4E91" w14:textId="0C014BF6" w:rsidR="00521368" w:rsidRPr="00521368" w:rsidRDefault="00521368" w:rsidP="00331359">
      <w:pPr>
        <w:rPr>
          <w:color w:val="000000" w:themeColor="text1"/>
        </w:rPr>
      </w:pPr>
      <w:r w:rsidRPr="00521368">
        <w:rPr>
          <w:color w:val="000000" w:themeColor="text1"/>
        </w:rPr>
        <w:t>While the Board size remains the same, new clause 24.2 provides: “No more than four Directors on the Board may be employees (as either a permanent staff or a contractor) working for the same company or organisation.”</w:t>
      </w:r>
    </w:p>
    <w:p w14:paraId="68D20D48" w14:textId="77777777" w:rsidR="00521368" w:rsidRPr="00BF661E" w:rsidRDefault="00521368">
      <w:pPr>
        <w:rPr>
          <w:color w:val="000000" w:themeColor="text1"/>
        </w:rPr>
      </w:pPr>
    </w:p>
    <w:p w14:paraId="64A2DAAD" w14:textId="6CD6B435" w:rsidR="008836A9" w:rsidRDefault="00331359" w:rsidP="00331359">
      <w:pPr>
        <w:rPr>
          <w:color w:val="000000" w:themeColor="text1"/>
        </w:rPr>
      </w:pPr>
      <w:r w:rsidRPr="00BF661E">
        <w:rPr>
          <w:color w:val="000000" w:themeColor="text1"/>
        </w:rPr>
        <w:t>In this paper</w:t>
      </w:r>
      <w:r w:rsidR="008836A9">
        <w:rPr>
          <w:color w:val="000000" w:themeColor="text1"/>
        </w:rPr>
        <w:t>:</w:t>
      </w:r>
      <w:r w:rsidR="00394640">
        <w:rPr>
          <w:color w:val="000000" w:themeColor="text1"/>
        </w:rPr>
        <w:t xml:space="preserve"> </w:t>
      </w:r>
    </w:p>
    <w:p w14:paraId="0B621CAA" w14:textId="18C00C09" w:rsidR="008836A9" w:rsidRPr="008425F4" w:rsidRDefault="008836A9" w:rsidP="008425F4">
      <w:pPr>
        <w:pStyle w:val="ListParagraph"/>
        <w:numPr>
          <w:ilvl w:val="0"/>
          <w:numId w:val="20"/>
        </w:numPr>
      </w:pPr>
      <w:r w:rsidRPr="008425F4">
        <w:t>"ACNC” means Australian Charities and Not-for-profits Commission</w:t>
      </w:r>
      <w:r w:rsidR="008425F4" w:rsidRPr="008425F4">
        <w:t>,</w:t>
      </w:r>
    </w:p>
    <w:p w14:paraId="2AB8A252" w14:textId="4B74619B" w:rsidR="00331359" w:rsidRPr="008425F4" w:rsidRDefault="00331359" w:rsidP="008425F4">
      <w:pPr>
        <w:pStyle w:val="ListParagraph"/>
        <w:numPr>
          <w:ilvl w:val="0"/>
          <w:numId w:val="20"/>
        </w:numPr>
      </w:pPr>
      <w:r w:rsidRPr="008425F4">
        <w:rPr>
          <w:i/>
          <w:iCs/>
        </w:rPr>
        <w:lastRenderedPageBreak/>
        <w:t>“</w:t>
      </w:r>
      <w:r w:rsidRPr="008425F4">
        <w:t xml:space="preserve">Act” means </w:t>
      </w:r>
      <w:r w:rsidRPr="008425F4">
        <w:rPr>
          <w:i/>
          <w:iCs/>
        </w:rPr>
        <w:t>Corporations Act 2001</w:t>
      </w:r>
      <w:r w:rsidRPr="008425F4">
        <w:t xml:space="preserve"> (</w:t>
      </w:r>
      <w:proofErr w:type="spellStart"/>
      <w:r w:rsidRPr="008425F4">
        <w:t>Cth</w:t>
      </w:r>
      <w:proofErr w:type="spellEnd"/>
      <w:r w:rsidRPr="008425F4">
        <w:t>)</w:t>
      </w:r>
      <w:r w:rsidR="008425F4" w:rsidRPr="008425F4">
        <w:t>,</w:t>
      </w:r>
    </w:p>
    <w:p w14:paraId="3019A592" w14:textId="19878C4F" w:rsidR="008425F4" w:rsidRPr="008425F4" w:rsidRDefault="008425F4" w:rsidP="008425F4">
      <w:pPr>
        <w:pStyle w:val="ListParagraph"/>
        <w:numPr>
          <w:ilvl w:val="0"/>
          <w:numId w:val="20"/>
        </w:numPr>
      </w:pPr>
      <w:r w:rsidRPr="008425F4">
        <w:t>“AGM” means Annual General Meeting, and</w:t>
      </w:r>
    </w:p>
    <w:p w14:paraId="5309F1F6" w14:textId="2AB921FE" w:rsidR="008836A9" w:rsidRPr="008425F4" w:rsidRDefault="008836A9" w:rsidP="008425F4">
      <w:pPr>
        <w:pStyle w:val="ListParagraph"/>
        <w:numPr>
          <w:ilvl w:val="0"/>
          <w:numId w:val="20"/>
        </w:numPr>
      </w:pPr>
      <w:r w:rsidRPr="008425F4">
        <w:t xml:space="preserve">“CLG” means company limited by guarantee (which is </w:t>
      </w:r>
      <w:r w:rsidR="00E80263">
        <w:t>MAPA</w:t>
      </w:r>
      <w:r w:rsidRPr="008425F4">
        <w:t>’ legal structure).</w:t>
      </w:r>
    </w:p>
    <w:p w14:paraId="0837EDD2" w14:textId="77777777" w:rsidR="00331359" w:rsidRDefault="00331359">
      <w:pPr>
        <w:rPr>
          <w:color w:val="000000" w:themeColor="text1"/>
        </w:rPr>
      </w:pPr>
    </w:p>
    <w:p w14:paraId="0D261D84" w14:textId="7F4386C4" w:rsidR="00331359" w:rsidRDefault="00331359" w:rsidP="00331359">
      <w:pPr>
        <w:rPr>
          <w:color w:val="000000" w:themeColor="text1"/>
        </w:rPr>
      </w:pPr>
      <w:r>
        <w:rPr>
          <w:color w:val="000000" w:themeColor="text1"/>
        </w:rPr>
        <w:t>References to “</w:t>
      </w:r>
      <w:r w:rsidR="001974C7">
        <w:rPr>
          <w:color w:val="000000" w:themeColor="text1"/>
        </w:rPr>
        <w:t xml:space="preserve">current </w:t>
      </w:r>
      <w:r w:rsidR="00056B40">
        <w:rPr>
          <w:color w:val="000000" w:themeColor="text1"/>
        </w:rPr>
        <w:t>rule</w:t>
      </w:r>
      <w:r>
        <w:rPr>
          <w:color w:val="000000" w:themeColor="text1"/>
        </w:rPr>
        <w:t xml:space="preserve">” means a reference to a </w:t>
      </w:r>
      <w:r w:rsidR="00056B40">
        <w:rPr>
          <w:color w:val="000000" w:themeColor="text1"/>
        </w:rPr>
        <w:t>rule</w:t>
      </w:r>
      <w:r>
        <w:rPr>
          <w:color w:val="000000" w:themeColor="text1"/>
        </w:rPr>
        <w:t xml:space="preserve"> in the current constitution. References to “new clauses” means a reference to a clause in the proposed new constitution.</w:t>
      </w:r>
    </w:p>
    <w:p w14:paraId="3A8BBC12" w14:textId="77777777" w:rsidR="0092714D" w:rsidRDefault="0092714D" w:rsidP="0092714D">
      <w:pPr>
        <w:rPr>
          <w:color w:val="000000" w:themeColor="text1"/>
        </w:rPr>
      </w:pPr>
    </w:p>
    <w:tbl>
      <w:tblPr>
        <w:tblStyle w:val="TableGrid"/>
        <w:tblW w:w="14317" w:type="dxa"/>
        <w:tblInd w:w="-147" w:type="dxa"/>
        <w:tblLook w:val="04A0" w:firstRow="1" w:lastRow="0" w:firstColumn="1" w:lastColumn="0" w:noHBand="0" w:noVBand="1"/>
      </w:tblPr>
      <w:tblGrid>
        <w:gridCol w:w="1099"/>
        <w:gridCol w:w="1768"/>
        <w:gridCol w:w="6325"/>
        <w:gridCol w:w="5125"/>
      </w:tblGrid>
      <w:tr w:rsidR="0024710A" w14:paraId="47CD0946" w14:textId="77777777" w:rsidTr="009B1E73">
        <w:trPr>
          <w:tblHeader/>
        </w:trPr>
        <w:tc>
          <w:tcPr>
            <w:tcW w:w="1099" w:type="dxa"/>
          </w:tcPr>
          <w:p w14:paraId="75D0A866" w14:textId="4E083F84" w:rsidR="0092714D" w:rsidRPr="0092714D" w:rsidRDefault="0092714D" w:rsidP="0092714D">
            <w:pPr>
              <w:rPr>
                <w:b/>
                <w:bCs/>
              </w:rPr>
            </w:pPr>
            <w:r w:rsidRPr="0092714D">
              <w:rPr>
                <w:b/>
                <w:bCs/>
                <w:color w:val="000000" w:themeColor="text1"/>
              </w:rPr>
              <w:t>New Clause</w:t>
            </w:r>
          </w:p>
        </w:tc>
        <w:tc>
          <w:tcPr>
            <w:tcW w:w="1768" w:type="dxa"/>
          </w:tcPr>
          <w:p w14:paraId="60D938AE" w14:textId="2D798205" w:rsidR="0092714D" w:rsidRPr="0092714D" w:rsidRDefault="0092714D" w:rsidP="0092714D">
            <w:pPr>
              <w:rPr>
                <w:b/>
                <w:bCs/>
              </w:rPr>
            </w:pPr>
            <w:r w:rsidRPr="0092714D">
              <w:rPr>
                <w:b/>
                <w:bCs/>
                <w:color w:val="000000" w:themeColor="text1"/>
              </w:rPr>
              <w:t>Subject</w:t>
            </w:r>
          </w:p>
        </w:tc>
        <w:tc>
          <w:tcPr>
            <w:tcW w:w="6325" w:type="dxa"/>
          </w:tcPr>
          <w:p w14:paraId="08604D25" w14:textId="297DD634" w:rsidR="0092714D" w:rsidRPr="0092714D" w:rsidRDefault="0092714D" w:rsidP="0092714D">
            <w:pPr>
              <w:rPr>
                <w:b/>
                <w:bCs/>
              </w:rPr>
            </w:pPr>
            <w:r w:rsidRPr="0092714D">
              <w:rPr>
                <w:b/>
                <w:bCs/>
                <w:color w:val="000000" w:themeColor="text1"/>
              </w:rPr>
              <w:t>Comments</w:t>
            </w:r>
          </w:p>
        </w:tc>
        <w:tc>
          <w:tcPr>
            <w:tcW w:w="5125" w:type="dxa"/>
          </w:tcPr>
          <w:p w14:paraId="717C476D" w14:textId="5B8F614E" w:rsidR="0092714D" w:rsidRPr="0092714D" w:rsidRDefault="0092714D" w:rsidP="0092714D">
            <w:pPr>
              <w:rPr>
                <w:b/>
                <w:bCs/>
              </w:rPr>
            </w:pPr>
            <w:r w:rsidRPr="0092714D">
              <w:rPr>
                <w:b/>
                <w:bCs/>
                <w:color w:val="000000" w:themeColor="text1"/>
              </w:rPr>
              <w:t>Reasons for change</w:t>
            </w:r>
          </w:p>
        </w:tc>
      </w:tr>
      <w:tr w:rsidR="00E80263" w14:paraId="24E10F48" w14:textId="77777777" w:rsidTr="005153F5">
        <w:tc>
          <w:tcPr>
            <w:tcW w:w="1099" w:type="dxa"/>
          </w:tcPr>
          <w:p w14:paraId="157610D6" w14:textId="2986D273" w:rsidR="00E80263" w:rsidRDefault="00E80263" w:rsidP="00060B0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768" w:type="dxa"/>
          </w:tcPr>
          <w:p w14:paraId="6D7092E5" w14:textId="31E257E5" w:rsidR="00E80263" w:rsidRDefault="00E80263" w:rsidP="00060B0C">
            <w:r>
              <w:t>Name</w:t>
            </w:r>
          </w:p>
        </w:tc>
        <w:tc>
          <w:tcPr>
            <w:tcW w:w="6325" w:type="dxa"/>
          </w:tcPr>
          <w:p w14:paraId="3DF7A7D4" w14:textId="79F71B1C" w:rsidR="00E80263" w:rsidRDefault="008A1288" w:rsidP="005005A2">
            <w:r>
              <w:rPr>
                <w:rFonts w:cstheme="minorHAnsi"/>
                <w:szCs w:val="22"/>
              </w:rPr>
              <w:t xml:space="preserve">The association’s legal name is </w:t>
            </w:r>
            <w:r w:rsidR="00E80263">
              <w:rPr>
                <w:rFonts w:cstheme="minorHAnsi"/>
                <w:szCs w:val="22"/>
              </w:rPr>
              <w:t>“</w:t>
            </w:r>
            <w:r w:rsidR="00E80263">
              <w:t>M</w:t>
            </w:r>
            <w:r w:rsidR="00E80263" w:rsidRPr="00B73BEA">
              <w:t>edical Affairs Professionals of Australasia</w:t>
            </w:r>
            <w:proofErr w:type="gramStart"/>
            <w:r w:rsidR="00E80263">
              <w:t>”</w:t>
            </w:r>
            <w:proofErr w:type="gramEnd"/>
            <w:r>
              <w:t xml:space="preserve"> but it trades as </w:t>
            </w:r>
            <w:r>
              <w:rPr>
                <w:rFonts w:cstheme="minorHAnsi"/>
                <w:szCs w:val="22"/>
              </w:rPr>
              <w:t>“</w:t>
            </w:r>
            <w:r w:rsidRPr="00E80263">
              <w:rPr>
                <w:rFonts w:cstheme="minorHAnsi"/>
                <w:szCs w:val="22"/>
              </w:rPr>
              <w:t>Medical Affairs Professionals of Australasia”</w:t>
            </w:r>
            <w:r>
              <w:rPr>
                <w:rFonts w:cstheme="minorHAnsi"/>
                <w:szCs w:val="22"/>
              </w:rPr>
              <w:t>.</w:t>
            </w:r>
          </w:p>
          <w:p w14:paraId="317CFDC2" w14:textId="77777777" w:rsidR="00E80263" w:rsidRDefault="00E80263" w:rsidP="005005A2"/>
          <w:p w14:paraId="12C03B07" w14:textId="0B886034" w:rsidR="00E80263" w:rsidRDefault="00E80263" w:rsidP="005005A2">
            <w:pPr>
              <w:rPr>
                <w:rFonts w:cstheme="minorHAnsi"/>
                <w:szCs w:val="22"/>
              </w:rPr>
            </w:pPr>
            <w:r>
              <w:t>The new proposed legal name is “M</w:t>
            </w:r>
            <w:r w:rsidRPr="00B73BEA">
              <w:t>edical Affairs Professionals of Australasia</w:t>
            </w:r>
            <w:r w:rsidR="008A1288">
              <w:t xml:space="preserve"> Ltd</w:t>
            </w:r>
            <w:r>
              <w:t>”.</w:t>
            </w:r>
          </w:p>
        </w:tc>
        <w:tc>
          <w:tcPr>
            <w:tcW w:w="5125" w:type="dxa"/>
          </w:tcPr>
          <w:p w14:paraId="5C38DF87" w14:textId="77777777" w:rsidR="00E80263" w:rsidRDefault="00E80263" w:rsidP="00060B0C">
            <w:pPr>
              <w:rPr>
                <w:rFonts w:cstheme="minorHAnsi"/>
                <w:szCs w:val="21"/>
              </w:rPr>
            </w:pPr>
            <w:r>
              <w:rPr>
                <w:bCs/>
                <w:iCs/>
              </w:rPr>
              <w:t xml:space="preserve">To align the trading name with the legal name. This is the name the Association is </w:t>
            </w:r>
            <w:r>
              <w:rPr>
                <w:rFonts w:cstheme="minorHAnsi"/>
                <w:szCs w:val="21"/>
              </w:rPr>
              <w:t>commonly known by and currently operates under.</w:t>
            </w:r>
          </w:p>
          <w:p w14:paraId="1DFAE646" w14:textId="77777777" w:rsidR="008A1288" w:rsidRDefault="008A1288" w:rsidP="00060B0C">
            <w:pPr>
              <w:rPr>
                <w:rFonts w:cstheme="minorHAnsi"/>
                <w:bCs/>
                <w:iCs/>
                <w:szCs w:val="21"/>
              </w:rPr>
            </w:pPr>
          </w:p>
          <w:p w14:paraId="73A53B4E" w14:textId="6BB884FD" w:rsidR="008A1288" w:rsidRDefault="008A1288" w:rsidP="00060B0C">
            <w:pPr>
              <w:rPr>
                <w:bCs/>
                <w:iCs/>
              </w:rPr>
            </w:pPr>
            <w:r>
              <w:rPr>
                <w:rFonts w:cstheme="minorHAnsi"/>
                <w:bCs/>
                <w:iCs/>
                <w:szCs w:val="21"/>
              </w:rPr>
              <w:t>CLGs have the suffix Ltd in their name.</w:t>
            </w:r>
          </w:p>
        </w:tc>
      </w:tr>
      <w:tr w:rsidR="00E80263" w14:paraId="5A49DFEC" w14:textId="77777777" w:rsidTr="005153F5">
        <w:tc>
          <w:tcPr>
            <w:tcW w:w="1099" w:type="dxa"/>
          </w:tcPr>
          <w:p w14:paraId="7EF449E4" w14:textId="59F00B70" w:rsidR="00E80263" w:rsidRDefault="00E80263" w:rsidP="00060B0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2.6</w:t>
            </w:r>
          </w:p>
        </w:tc>
        <w:tc>
          <w:tcPr>
            <w:tcW w:w="1768" w:type="dxa"/>
          </w:tcPr>
          <w:p w14:paraId="7CC3A5C3" w14:textId="45ACA097" w:rsidR="00E80263" w:rsidRDefault="00E80263" w:rsidP="00060B0C">
            <w:r>
              <w:t>Members Guarantee</w:t>
            </w:r>
          </w:p>
        </w:tc>
        <w:tc>
          <w:tcPr>
            <w:tcW w:w="6325" w:type="dxa"/>
          </w:tcPr>
          <w:p w14:paraId="3B1CE1DB" w14:textId="77777777" w:rsidR="00E80263" w:rsidRDefault="00E80263" w:rsidP="005005A2">
            <w:r>
              <w:t>The liability in current rule 9A is “</w:t>
            </w:r>
            <w:r w:rsidRPr="005D2319">
              <w:t>any</w:t>
            </w:r>
            <w:r>
              <w:t xml:space="preserve"> [amount] </w:t>
            </w:r>
            <w:r w:rsidRPr="005D2319">
              <w:t>unpaid by the member in respect of membership fees of the Association</w:t>
            </w:r>
            <w:r>
              <w:t>”.</w:t>
            </w:r>
          </w:p>
          <w:p w14:paraId="268BC5D6" w14:textId="77777777" w:rsidR="00E80263" w:rsidRDefault="00E80263" w:rsidP="005005A2">
            <w:pPr>
              <w:rPr>
                <w:rFonts w:cstheme="minorHAnsi"/>
                <w:szCs w:val="22"/>
              </w:rPr>
            </w:pPr>
          </w:p>
          <w:p w14:paraId="78BB264B" w14:textId="570E08B6" w:rsidR="00E80263" w:rsidRDefault="00E80263" w:rsidP="005005A2">
            <w:pPr>
              <w:rPr>
                <w:rFonts w:cstheme="minorHAnsi"/>
                <w:szCs w:val="22"/>
              </w:rPr>
            </w:pPr>
            <w:r w:rsidRPr="00BB4B16">
              <w:t xml:space="preserve">The guarantee amount for </w:t>
            </w:r>
            <w:r>
              <w:t>MAPA</w:t>
            </w:r>
            <w:r w:rsidRPr="00BB4B16">
              <w:t xml:space="preserve"> will</w:t>
            </w:r>
            <w:r>
              <w:t xml:space="preserve"> be</w:t>
            </w:r>
            <w:r w:rsidRPr="00BB4B16">
              <w:t xml:space="preserve"> set at $1.00</w:t>
            </w:r>
            <w:r>
              <w:t xml:space="preserve"> in new clause 2.6.</w:t>
            </w:r>
          </w:p>
        </w:tc>
        <w:tc>
          <w:tcPr>
            <w:tcW w:w="5125" w:type="dxa"/>
          </w:tcPr>
          <w:p w14:paraId="3EB90036" w14:textId="67264154" w:rsidR="00E80263" w:rsidRDefault="00E80263" w:rsidP="00060B0C">
            <w:pPr>
              <w:rPr>
                <w:bCs/>
                <w:iCs/>
              </w:rPr>
            </w:pPr>
            <w:r w:rsidRPr="00BB4B16">
              <w:t>The liability of members of a CLG is</w:t>
            </w:r>
            <w:r>
              <w:t xml:space="preserve"> </w:t>
            </w:r>
            <w:r w:rsidRPr="00BB4B16">
              <w:t xml:space="preserve">limited to the </w:t>
            </w:r>
            <w:proofErr w:type="gramStart"/>
            <w:r w:rsidRPr="00E80263">
              <w:t>guarantee</w:t>
            </w:r>
            <w:proofErr w:type="gramEnd"/>
            <w:r w:rsidRPr="00BB4B16">
              <w:t xml:space="preserve"> amount. The guarantee is the amount that members agree to pay towards certain debts if the organisation winds up. The guarantee needs to be specified in the constitution.</w:t>
            </w:r>
          </w:p>
        </w:tc>
      </w:tr>
      <w:tr w:rsidR="00060B0C" w14:paraId="69E3E363" w14:textId="77777777" w:rsidTr="005153F5">
        <w:tc>
          <w:tcPr>
            <w:tcW w:w="1099" w:type="dxa"/>
          </w:tcPr>
          <w:p w14:paraId="037C135E" w14:textId="2CF0805A" w:rsidR="00060B0C" w:rsidRDefault="00060B0C" w:rsidP="00060B0C">
            <w:r>
              <w:rPr>
                <w:color w:val="000000" w:themeColor="text1"/>
              </w:rPr>
              <w:t>3</w:t>
            </w:r>
          </w:p>
        </w:tc>
        <w:tc>
          <w:tcPr>
            <w:tcW w:w="1768" w:type="dxa"/>
          </w:tcPr>
          <w:p w14:paraId="49FFB259" w14:textId="3DAEE8BB" w:rsidR="00060B0C" w:rsidRDefault="002F55FE" w:rsidP="00060B0C">
            <w:r>
              <w:t>Purposes</w:t>
            </w:r>
          </w:p>
        </w:tc>
        <w:tc>
          <w:tcPr>
            <w:tcW w:w="6325" w:type="dxa"/>
          </w:tcPr>
          <w:p w14:paraId="64C8AFEC" w14:textId="18C9143F" w:rsidR="005005A2" w:rsidRDefault="00D67D0D" w:rsidP="005005A2">
            <w:r>
              <w:rPr>
                <w:rFonts w:cstheme="minorHAnsi"/>
                <w:szCs w:val="22"/>
              </w:rPr>
              <w:t xml:space="preserve">The new Purposes clause </w:t>
            </w:r>
            <w:r w:rsidR="00492319">
              <w:t xml:space="preserve">carries over </w:t>
            </w:r>
            <w:r w:rsidR="005005A2">
              <w:t xml:space="preserve">the intent of </w:t>
            </w:r>
            <w:r w:rsidR="00CC0F83">
              <w:t xml:space="preserve">current </w:t>
            </w:r>
            <w:r w:rsidR="00E80263">
              <w:t>rule 1 “Aims and</w:t>
            </w:r>
            <w:r w:rsidR="003522F3">
              <w:t xml:space="preserve"> Object</w:t>
            </w:r>
            <w:r w:rsidR="00E80263">
              <w:t>ive</w:t>
            </w:r>
            <w:r w:rsidR="003522F3">
              <w:t>s</w:t>
            </w:r>
            <w:r w:rsidR="00E80263">
              <w:t>”</w:t>
            </w:r>
            <w:r w:rsidR="005005A2">
              <w:t>.</w:t>
            </w:r>
          </w:p>
          <w:p w14:paraId="095714A9" w14:textId="77777777" w:rsidR="005005A2" w:rsidRDefault="005005A2" w:rsidP="005005A2"/>
          <w:p w14:paraId="7169D8D2" w14:textId="1E28BB9C" w:rsidR="00D67D0D" w:rsidRPr="00CC0F83" w:rsidRDefault="008A1288" w:rsidP="00060B0C">
            <w:r>
              <w:rPr>
                <w:bCs/>
                <w:iCs/>
              </w:rPr>
              <w:t>The sub-points consolidate rules 1(a) to (k) of the current Objects.</w:t>
            </w:r>
          </w:p>
        </w:tc>
        <w:tc>
          <w:tcPr>
            <w:tcW w:w="5125" w:type="dxa"/>
          </w:tcPr>
          <w:p w14:paraId="04AFDDFD" w14:textId="28185918" w:rsidR="00060B0C" w:rsidRPr="00492319" w:rsidRDefault="008A1288" w:rsidP="00060B0C">
            <w:pPr>
              <w:rPr>
                <w:bCs/>
                <w:iCs/>
              </w:rPr>
            </w:pPr>
            <w:r w:rsidRPr="008A1288">
              <w:rPr>
                <w:bCs/>
                <w:iCs/>
              </w:rPr>
              <w:t xml:space="preserve">The proposed </w:t>
            </w:r>
            <w:r>
              <w:rPr>
                <w:bCs/>
                <w:iCs/>
              </w:rPr>
              <w:t>Proposes</w:t>
            </w:r>
            <w:r w:rsidRPr="008A1288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 xml:space="preserve">better reflect MAPA’s vision and mission and </w:t>
            </w:r>
            <w:r w:rsidRPr="008A1288">
              <w:rPr>
                <w:bCs/>
                <w:iCs/>
              </w:rPr>
              <w:t>enhance the possibility of being registered as a charity with the Australian Charities &amp; Not-for-profits Commission (ACNC) under the sub-type Advancing Education</w:t>
            </w:r>
            <w:r w:rsidR="00B03379">
              <w:rPr>
                <w:bCs/>
                <w:iCs/>
              </w:rPr>
              <w:t>.</w:t>
            </w:r>
          </w:p>
        </w:tc>
      </w:tr>
      <w:tr w:rsidR="00060B0C" w14:paraId="2CD87E7A" w14:textId="77777777" w:rsidTr="005153F5">
        <w:tc>
          <w:tcPr>
            <w:tcW w:w="1099" w:type="dxa"/>
          </w:tcPr>
          <w:p w14:paraId="66973ACF" w14:textId="02FD31F8" w:rsidR="00060B0C" w:rsidRPr="00305033" w:rsidRDefault="00060B0C" w:rsidP="00060B0C">
            <w:pPr>
              <w:rPr>
                <w:color w:val="000000" w:themeColor="text1"/>
              </w:rPr>
            </w:pPr>
            <w:r w:rsidRPr="00305033">
              <w:rPr>
                <w:color w:val="000000" w:themeColor="text1"/>
              </w:rPr>
              <w:t>7</w:t>
            </w:r>
          </w:p>
        </w:tc>
        <w:tc>
          <w:tcPr>
            <w:tcW w:w="1768" w:type="dxa"/>
          </w:tcPr>
          <w:p w14:paraId="52B7FBFA" w14:textId="42E31DE8" w:rsidR="00060B0C" w:rsidRPr="003522F3" w:rsidRDefault="00060B0C" w:rsidP="00060B0C">
            <w:pPr>
              <w:rPr>
                <w:color w:val="000000" w:themeColor="text1"/>
              </w:rPr>
            </w:pPr>
            <w:r w:rsidRPr="003522F3">
              <w:rPr>
                <w:color w:val="000000" w:themeColor="text1"/>
              </w:rPr>
              <w:t>Classes of Members</w:t>
            </w:r>
          </w:p>
        </w:tc>
        <w:tc>
          <w:tcPr>
            <w:tcW w:w="6325" w:type="dxa"/>
          </w:tcPr>
          <w:p w14:paraId="583DCCD1" w14:textId="5AAFB457" w:rsidR="002F55FE" w:rsidRPr="003522F3" w:rsidRDefault="00D67D0D" w:rsidP="005005A2">
            <w:r w:rsidRPr="003522F3">
              <w:rPr>
                <w:color w:val="000000" w:themeColor="text1"/>
              </w:rPr>
              <w:t xml:space="preserve">The current constitution has </w:t>
            </w:r>
            <w:r w:rsidR="005005A2" w:rsidRPr="003522F3">
              <w:rPr>
                <w:color w:val="000000" w:themeColor="text1"/>
              </w:rPr>
              <w:t>the following members:</w:t>
            </w:r>
          </w:p>
          <w:p w14:paraId="7D19BB3B" w14:textId="5E1FDFF8" w:rsidR="005005A2" w:rsidRDefault="00E80263" w:rsidP="003522F3">
            <w:pPr>
              <w:pStyle w:val="ListParagraph"/>
              <w:numPr>
                <w:ilvl w:val="0"/>
                <w:numId w:val="16"/>
              </w:numPr>
            </w:pPr>
            <w:r>
              <w:t>Rule 3B: Voting Members</w:t>
            </w:r>
          </w:p>
          <w:p w14:paraId="3823743F" w14:textId="0A2F7776" w:rsidR="00E80263" w:rsidRDefault="00E80263" w:rsidP="003522F3">
            <w:pPr>
              <w:pStyle w:val="ListParagraph"/>
              <w:numPr>
                <w:ilvl w:val="0"/>
                <w:numId w:val="16"/>
              </w:numPr>
            </w:pPr>
            <w:r>
              <w:t>Rule 4B: Non-Voting Members</w:t>
            </w:r>
            <w:r w:rsidR="0068443D">
              <w:t xml:space="preserve"> (including Vendor Members and Partner Members)</w:t>
            </w:r>
          </w:p>
          <w:p w14:paraId="059461EC" w14:textId="229E178B" w:rsidR="0068443D" w:rsidRPr="003522F3" w:rsidRDefault="0068443D" w:rsidP="003522F3">
            <w:pPr>
              <w:pStyle w:val="ListParagraph"/>
              <w:numPr>
                <w:ilvl w:val="0"/>
                <w:numId w:val="16"/>
              </w:numPr>
            </w:pPr>
            <w:r>
              <w:t>Rule 5F: Honorary Members</w:t>
            </w:r>
          </w:p>
          <w:p w14:paraId="648AA204" w14:textId="77777777" w:rsidR="005005A2" w:rsidRPr="003522F3" w:rsidRDefault="005005A2" w:rsidP="005005A2"/>
          <w:p w14:paraId="55BF4A75" w14:textId="77777777" w:rsidR="00B44409" w:rsidRPr="003522F3" w:rsidRDefault="00D67D0D" w:rsidP="00492319">
            <w:pPr>
              <w:rPr>
                <w:color w:val="000000" w:themeColor="text1"/>
              </w:rPr>
            </w:pPr>
            <w:r w:rsidRPr="003522F3">
              <w:rPr>
                <w:color w:val="000000" w:themeColor="text1"/>
              </w:rPr>
              <w:t xml:space="preserve">This has been simplified into </w:t>
            </w:r>
            <w:r w:rsidR="00B44409" w:rsidRPr="003522F3">
              <w:rPr>
                <w:color w:val="000000" w:themeColor="text1"/>
              </w:rPr>
              <w:t>two</w:t>
            </w:r>
            <w:r w:rsidRPr="003522F3">
              <w:rPr>
                <w:color w:val="000000" w:themeColor="text1"/>
              </w:rPr>
              <w:t xml:space="preserve"> Membership </w:t>
            </w:r>
            <w:r w:rsidR="00492319" w:rsidRPr="003522F3">
              <w:rPr>
                <w:color w:val="000000" w:themeColor="text1"/>
              </w:rPr>
              <w:t>class</w:t>
            </w:r>
            <w:r w:rsidR="00B44409" w:rsidRPr="003522F3">
              <w:rPr>
                <w:color w:val="000000" w:themeColor="text1"/>
              </w:rPr>
              <w:t>es</w:t>
            </w:r>
            <w:r w:rsidR="00492319" w:rsidRPr="003522F3">
              <w:rPr>
                <w:color w:val="000000" w:themeColor="text1"/>
              </w:rPr>
              <w:t>:</w:t>
            </w:r>
          </w:p>
          <w:p w14:paraId="4807D948" w14:textId="79F1C488" w:rsidR="00492319" w:rsidRPr="003522F3" w:rsidRDefault="00B44409" w:rsidP="00B44409">
            <w:pPr>
              <w:pStyle w:val="ListParagraph"/>
              <w:numPr>
                <w:ilvl w:val="0"/>
                <w:numId w:val="17"/>
              </w:numPr>
            </w:pPr>
            <w:r w:rsidRPr="003522F3">
              <w:t xml:space="preserve">Voting </w:t>
            </w:r>
            <w:r w:rsidR="00492319" w:rsidRPr="003522F3">
              <w:t>Members</w:t>
            </w:r>
            <w:r w:rsidRPr="003522F3">
              <w:t>, and</w:t>
            </w:r>
          </w:p>
          <w:p w14:paraId="63765050" w14:textId="6B4C8CD8" w:rsidR="00B44409" w:rsidRPr="003522F3" w:rsidRDefault="00B44409" w:rsidP="00B44409">
            <w:pPr>
              <w:pStyle w:val="ListParagraph"/>
              <w:numPr>
                <w:ilvl w:val="0"/>
                <w:numId w:val="17"/>
              </w:numPr>
            </w:pPr>
            <w:r w:rsidRPr="003522F3">
              <w:t>Non-Voting Members</w:t>
            </w:r>
            <w:r w:rsidR="00857A21" w:rsidRPr="003522F3">
              <w:t>.</w:t>
            </w:r>
          </w:p>
          <w:p w14:paraId="5D1C80C4" w14:textId="77777777" w:rsidR="00B44409" w:rsidRPr="003522F3" w:rsidRDefault="00B44409" w:rsidP="00B44409"/>
          <w:p w14:paraId="774A8B6C" w14:textId="4AE1C41F" w:rsidR="008E7F76" w:rsidRPr="003522F3" w:rsidRDefault="00B44409" w:rsidP="005005A2">
            <w:pPr>
              <w:rPr>
                <w:color w:val="000000" w:themeColor="text1"/>
              </w:rPr>
            </w:pPr>
            <w:r w:rsidRPr="003522F3">
              <w:t>The categories and their specific eligibility criteria will be set out in the By-laws.</w:t>
            </w:r>
            <w:r w:rsidR="00857A21" w:rsidRPr="003522F3">
              <w:t xml:space="preserve"> </w:t>
            </w:r>
          </w:p>
        </w:tc>
        <w:tc>
          <w:tcPr>
            <w:tcW w:w="5125" w:type="dxa"/>
          </w:tcPr>
          <w:p w14:paraId="6D1642F7" w14:textId="64223ECF" w:rsidR="0068443D" w:rsidRDefault="00060B0C" w:rsidP="000F7640">
            <w:pPr>
              <w:rPr>
                <w:rFonts w:cs="Arial"/>
                <w:color w:val="000000" w:themeColor="text1"/>
                <w:lang w:val="en-GB"/>
              </w:rPr>
            </w:pPr>
            <w:r w:rsidRPr="000F7640">
              <w:rPr>
                <w:rFonts w:cs="Arial"/>
                <w:color w:val="000000" w:themeColor="text1"/>
                <w:lang w:val="en-GB"/>
              </w:rPr>
              <w:lastRenderedPageBreak/>
              <w:t xml:space="preserve">The new membership provisions </w:t>
            </w:r>
            <w:r w:rsidR="00D67D0D" w:rsidRPr="000F7640">
              <w:rPr>
                <w:rFonts w:cs="Arial"/>
                <w:color w:val="000000" w:themeColor="text1"/>
                <w:lang w:val="en-GB"/>
              </w:rPr>
              <w:t>do not change</w:t>
            </w:r>
            <w:r w:rsidRPr="000F7640">
              <w:rPr>
                <w:rFonts w:cs="Arial"/>
                <w:color w:val="000000" w:themeColor="text1"/>
                <w:lang w:val="en-GB"/>
              </w:rPr>
              <w:t xml:space="preserve"> the </w:t>
            </w:r>
            <w:r w:rsidR="00D67D0D" w:rsidRPr="000F7640">
              <w:rPr>
                <w:rFonts w:cs="Arial"/>
                <w:color w:val="000000" w:themeColor="text1"/>
                <w:lang w:val="en-GB"/>
              </w:rPr>
              <w:t>rights of Members</w:t>
            </w:r>
            <w:r w:rsidR="00492319" w:rsidRPr="000F7640">
              <w:rPr>
                <w:rFonts w:cs="Arial"/>
                <w:color w:val="000000" w:themeColor="text1"/>
                <w:lang w:val="en-GB"/>
              </w:rPr>
              <w:t xml:space="preserve"> but rather </w:t>
            </w:r>
            <w:r w:rsidR="000302E0" w:rsidRPr="000F7640">
              <w:rPr>
                <w:rFonts w:cs="Arial"/>
                <w:color w:val="000000" w:themeColor="text1"/>
                <w:lang w:val="en-GB"/>
              </w:rPr>
              <w:t>simplify</w:t>
            </w:r>
            <w:r w:rsidR="00492319" w:rsidRPr="000F7640">
              <w:rPr>
                <w:rFonts w:cs="Arial"/>
                <w:color w:val="000000" w:themeColor="text1"/>
                <w:lang w:val="en-GB"/>
              </w:rPr>
              <w:t xml:space="preserve"> the composition into </w:t>
            </w:r>
            <w:r w:rsidR="00B44409" w:rsidRPr="000F7640">
              <w:rPr>
                <w:rFonts w:cs="Arial"/>
                <w:color w:val="000000" w:themeColor="text1"/>
                <w:lang w:val="en-GB"/>
              </w:rPr>
              <w:t>two</w:t>
            </w:r>
            <w:r w:rsidR="00492319" w:rsidRPr="000F7640">
              <w:rPr>
                <w:rFonts w:cs="Arial"/>
                <w:color w:val="000000" w:themeColor="text1"/>
                <w:lang w:val="en-GB"/>
              </w:rPr>
              <w:t xml:space="preserve"> class</w:t>
            </w:r>
            <w:r w:rsidR="00B44409" w:rsidRPr="000F7640">
              <w:rPr>
                <w:rFonts w:cs="Arial"/>
                <w:color w:val="000000" w:themeColor="text1"/>
                <w:lang w:val="en-GB"/>
              </w:rPr>
              <w:t>es</w:t>
            </w:r>
            <w:r w:rsidR="0068443D">
              <w:rPr>
                <w:rFonts w:cs="Arial"/>
                <w:color w:val="000000" w:themeColor="text1"/>
                <w:lang w:val="en-GB"/>
              </w:rPr>
              <w:t xml:space="preserve"> and allow flexibility for the criteria to be set in the By-laws</w:t>
            </w:r>
            <w:r w:rsidR="00C40FF3">
              <w:rPr>
                <w:rFonts w:cs="Arial"/>
                <w:color w:val="000000" w:themeColor="text1"/>
                <w:lang w:val="en-GB"/>
              </w:rPr>
              <w:t xml:space="preserve">. This is </w:t>
            </w:r>
            <w:r w:rsidR="00C40FF3">
              <w:rPr>
                <w:rFonts w:cs="Arial"/>
                <w:color w:val="000000" w:themeColor="text1"/>
                <w:lang w:val="en-GB"/>
              </w:rPr>
              <w:lastRenderedPageBreak/>
              <w:t>reflected in the transitional arrangements in clause 51.1.</w:t>
            </w:r>
          </w:p>
          <w:p w14:paraId="6DF06A63" w14:textId="77777777" w:rsidR="00C40FF3" w:rsidRDefault="00C40FF3" w:rsidP="000F7640">
            <w:pPr>
              <w:rPr>
                <w:rFonts w:cs="Arial"/>
                <w:color w:val="000000" w:themeColor="text1"/>
                <w:lang w:val="en-GB"/>
              </w:rPr>
            </w:pPr>
          </w:p>
          <w:p w14:paraId="05E001B6" w14:textId="47581607" w:rsidR="00C40FF3" w:rsidRDefault="00C40FF3" w:rsidP="000F7640">
            <w:pPr>
              <w:rPr>
                <w:rFonts w:cs="Arial"/>
                <w:color w:val="000000" w:themeColor="text1"/>
                <w:lang w:val="en-GB"/>
              </w:rPr>
            </w:pPr>
            <w:r w:rsidRPr="000F7640">
              <w:rPr>
                <w:rFonts w:cs="Arial"/>
                <w:color w:val="000000" w:themeColor="text1"/>
                <w:lang w:val="en-GB"/>
              </w:rPr>
              <w:t>Each class of membership may have sub-categories within it, as determined by the Board and set out in the By-laws</w:t>
            </w:r>
            <w:r>
              <w:rPr>
                <w:rFonts w:cs="Arial"/>
                <w:color w:val="000000" w:themeColor="text1"/>
                <w:lang w:val="en-GB"/>
              </w:rPr>
              <w:t>.</w:t>
            </w:r>
          </w:p>
          <w:p w14:paraId="27FFF3E8" w14:textId="77777777" w:rsidR="00C40FF3" w:rsidRDefault="00C40FF3" w:rsidP="000F7640">
            <w:pPr>
              <w:rPr>
                <w:rFonts w:cs="Arial"/>
                <w:color w:val="000000" w:themeColor="text1"/>
                <w:lang w:val="en-GB"/>
              </w:rPr>
            </w:pPr>
          </w:p>
          <w:p w14:paraId="01D393C4" w14:textId="30078D62" w:rsidR="00AB1C2A" w:rsidRPr="000F7640" w:rsidRDefault="0068443D" w:rsidP="000F7640">
            <w:pPr>
              <w:rPr>
                <w:rFonts w:cs="Arial"/>
                <w:color w:val="000000" w:themeColor="text1"/>
                <w:lang w:val="en-GB"/>
              </w:rPr>
            </w:pPr>
            <w:r>
              <w:rPr>
                <w:rFonts w:cs="Arial"/>
                <w:color w:val="000000" w:themeColor="text1"/>
                <w:lang w:val="en-GB"/>
              </w:rPr>
              <w:t>There will be no separate ‘Honorary Members’ class.</w:t>
            </w:r>
          </w:p>
        </w:tc>
      </w:tr>
      <w:tr w:rsidR="005005A2" w:rsidRPr="005005A2" w14:paraId="4B794B5A" w14:textId="77777777" w:rsidTr="005153F5">
        <w:tc>
          <w:tcPr>
            <w:tcW w:w="1099" w:type="dxa"/>
          </w:tcPr>
          <w:p w14:paraId="0878D19D" w14:textId="37799B0D" w:rsidR="006934E2" w:rsidRPr="00A072EC" w:rsidRDefault="006934E2" w:rsidP="006934E2">
            <w:pPr>
              <w:rPr>
                <w:color w:val="000000" w:themeColor="text1"/>
              </w:rPr>
            </w:pPr>
            <w:r w:rsidRPr="00A072EC">
              <w:rPr>
                <w:color w:val="000000" w:themeColor="text1"/>
              </w:rPr>
              <w:lastRenderedPageBreak/>
              <w:t>8</w:t>
            </w:r>
          </w:p>
        </w:tc>
        <w:tc>
          <w:tcPr>
            <w:tcW w:w="1768" w:type="dxa"/>
          </w:tcPr>
          <w:p w14:paraId="1E0E1C80" w14:textId="14707D22" w:rsidR="006934E2" w:rsidRPr="00D90085" w:rsidRDefault="006934E2" w:rsidP="006934E2">
            <w:pPr>
              <w:rPr>
                <w:color w:val="000000" w:themeColor="text1"/>
              </w:rPr>
            </w:pPr>
            <w:r w:rsidRPr="00D90085">
              <w:rPr>
                <w:color w:val="000000" w:themeColor="text1"/>
              </w:rPr>
              <w:t>Rights and Obligations of Members</w:t>
            </w:r>
          </w:p>
        </w:tc>
        <w:tc>
          <w:tcPr>
            <w:tcW w:w="6325" w:type="dxa"/>
          </w:tcPr>
          <w:p w14:paraId="7F019C98" w14:textId="7EBD900F" w:rsidR="006934E2" w:rsidRPr="00D90085" w:rsidRDefault="006934E2" w:rsidP="006934E2">
            <w:pPr>
              <w:rPr>
                <w:color w:val="000000" w:themeColor="text1"/>
              </w:rPr>
            </w:pPr>
            <w:r w:rsidRPr="00D90085">
              <w:rPr>
                <w:color w:val="000000" w:themeColor="text1"/>
              </w:rPr>
              <w:t>These provisions clarify the rights of</w:t>
            </w:r>
            <w:r w:rsidR="0040667B" w:rsidRPr="00D90085">
              <w:rPr>
                <w:color w:val="000000" w:themeColor="text1"/>
              </w:rPr>
              <w:t xml:space="preserve"> </w:t>
            </w:r>
            <w:r w:rsidR="000E3691" w:rsidRPr="00D90085">
              <w:rPr>
                <w:color w:val="000000" w:themeColor="text1"/>
              </w:rPr>
              <w:t>each class of membership.</w:t>
            </w:r>
          </w:p>
          <w:p w14:paraId="0FB76EC8" w14:textId="77777777" w:rsidR="006934E2" w:rsidRPr="00D90085" w:rsidRDefault="006934E2" w:rsidP="006934E2">
            <w:pPr>
              <w:rPr>
                <w:color w:val="000000" w:themeColor="text1"/>
              </w:rPr>
            </w:pPr>
          </w:p>
          <w:p w14:paraId="1E681146" w14:textId="66C19961" w:rsidR="006934E2" w:rsidRPr="00D90085" w:rsidRDefault="007B1202" w:rsidP="006934E2">
            <w:pPr>
              <w:rPr>
                <w:color w:val="000000" w:themeColor="text1"/>
              </w:rPr>
            </w:pPr>
            <w:r w:rsidRPr="00D90085">
              <w:rPr>
                <w:color w:val="000000" w:themeColor="text1"/>
              </w:rPr>
              <w:t>New c</w:t>
            </w:r>
            <w:r w:rsidR="006934E2" w:rsidRPr="00D90085">
              <w:rPr>
                <w:color w:val="000000" w:themeColor="text1"/>
              </w:rPr>
              <w:t>lause 8 also outlines the obligations of Members.</w:t>
            </w:r>
          </w:p>
        </w:tc>
        <w:tc>
          <w:tcPr>
            <w:tcW w:w="5125" w:type="dxa"/>
          </w:tcPr>
          <w:p w14:paraId="196B7BCE" w14:textId="4E3F5993" w:rsidR="000302E0" w:rsidRPr="00D90085" w:rsidRDefault="006934E2" w:rsidP="006934E2">
            <w:pPr>
              <w:rPr>
                <w:color w:val="000000" w:themeColor="text1"/>
              </w:rPr>
            </w:pPr>
            <w:r w:rsidRPr="00D90085">
              <w:rPr>
                <w:color w:val="000000" w:themeColor="text1"/>
              </w:rPr>
              <w:t>Obligations of members is a standard inclusion in constitutions of membership bodies.</w:t>
            </w:r>
            <w:r w:rsidR="00305033" w:rsidRPr="00D90085">
              <w:rPr>
                <w:color w:val="000000" w:themeColor="text1"/>
              </w:rPr>
              <w:t xml:space="preserve"> </w:t>
            </w:r>
          </w:p>
        </w:tc>
      </w:tr>
      <w:tr w:rsidR="005005A2" w:rsidRPr="005005A2" w14:paraId="627B3187" w14:textId="77777777" w:rsidTr="005153F5">
        <w:tc>
          <w:tcPr>
            <w:tcW w:w="1099" w:type="dxa"/>
          </w:tcPr>
          <w:p w14:paraId="074C9A69" w14:textId="21D4620D" w:rsidR="00060B0C" w:rsidRPr="008B344D" w:rsidRDefault="008B344D" w:rsidP="00060B0C">
            <w:pPr>
              <w:rPr>
                <w:color w:val="000000" w:themeColor="text1"/>
              </w:rPr>
            </w:pPr>
            <w:r w:rsidRPr="008B344D">
              <w:rPr>
                <w:color w:val="000000" w:themeColor="text1"/>
              </w:rPr>
              <w:t>9</w:t>
            </w:r>
          </w:p>
        </w:tc>
        <w:tc>
          <w:tcPr>
            <w:tcW w:w="1768" w:type="dxa"/>
          </w:tcPr>
          <w:p w14:paraId="20CC520A" w14:textId="5F754788" w:rsidR="00060B0C" w:rsidRPr="008B344D" w:rsidRDefault="00060B0C" w:rsidP="00060B0C">
            <w:pPr>
              <w:rPr>
                <w:color w:val="000000" w:themeColor="text1"/>
              </w:rPr>
            </w:pPr>
            <w:r w:rsidRPr="008B344D">
              <w:rPr>
                <w:color w:val="000000" w:themeColor="text1"/>
              </w:rPr>
              <w:t>Application for Membership</w:t>
            </w:r>
          </w:p>
        </w:tc>
        <w:tc>
          <w:tcPr>
            <w:tcW w:w="6325" w:type="dxa"/>
          </w:tcPr>
          <w:p w14:paraId="5B5F63B7" w14:textId="1D54F523" w:rsidR="00F262F5" w:rsidRPr="008B344D" w:rsidRDefault="007B1202" w:rsidP="00060B0C">
            <w:pPr>
              <w:rPr>
                <w:color w:val="000000" w:themeColor="text1"/>
              </w:rPr>
            </w:pPr>
            <w:r w:rsidRPr="008B344D">
              <w:rPr>
                <w:color w:val="000000" w:themeColor="text1"/>
              </w:rPr>
              <w:t>New c</w:t>
            </w:r>
            <w:r w:rsidR="006712B4" w:rsidRPr="008B344D">
              <w:rPr>
                <w:color w:val="000000" w:themeColor="text1"/>
              </w:rPr>
              <w:t xml:space="preserve">lause </w:t>
            </w:r>
            <w:r w:rsidR="008B344D" w:rsidRPr="008B344D">
              <w:rPr>
                <w:color w:val="000000" w:themeColor="text1"/>
              </w:rPr>
              <w:t>9</w:t>
            </w:r>
            <w:r w:rsidR="006712B4" w:rsidRPr="008B344D">
              <w:rPr>
                <w:color w:val="000000" w:themeColor="text1"/>
              </w:rPr>
              <w:t xml:space="preserve"> </w:t>
            </w:r>
            <w:r w:rsidR="00F262F5" w:rsidRPr="008B344D">
              <w:rPr>
                <w:color w:val="000000" w:themeColor="text1"/>
              </w:rPr>
              <w:t>reflects</w:t>
            </w:r>
            <w:r w:rsidR="006712B4" w:rsidRPr="008B344D">
              <w:rPr>
                <w:color w:val="000000" w:themeColor="text1"/>
              </w:rPr>
              <w:t xml:space="preserve"> current </w:t>
            </w:r>
            <w:r w:rsidR="00F262F5" w:rsidRPr="008B344D">
              <w:rPr>
                <w:color w:val="000000" w:themeColor="text1"/>
              </w:rPr>
              <w:t>rule</w:t>
            </w:r>
            <w:r w:rsidR="006712B4" w:rsidRPr="008B344D">
              <w:rPr>
                <w:color w:val="000000" w:themeColor="text1"/>
              </w:rPr>
              <w:t xml:space="preserve"> </w:t>
            </w:r>
            <w:r w:rsidR="008B344D" w:rsidRPr="008B344D">
              <w:rPr>
                <w:color w:val="000000" w:themeColor="text1"/>
              </w:rPr>
              <w:t>4</w:t>
            </w:r>
            <w:r w:rsidR="004906B7">
              <w:rPr>
                <w:color w:val="000000" w:themeColor="text1"/>
              </w:rPr>
              <w:t>(a)</w:t>
            </w:r>
            <w:r w:rsidR="008B344D">
              <w:rPr>
                <w:color w:val="000000" w:themeColor="text1"/>
              </w:rPr>
              <w:t xml:space="preserve"> </w:t>
            </w:r>
            <w:r w:rsidR="006712B4" w:rsidRPr="008B344D">
              <w:rPr>
                <w:color w:val="000000" w:themeColor="text1"/>
              </w:rPr>
              <w:t xml:space="preserve">and </w:t>
            </w:r>
            <w:r w:rsidR="00F262F5" w:rsidRPr="008B344D">
              <w:rPr>
                <w:color w:val="000000" w:themeColor="text1"/>
              </w:rPr>
              <w:t xml:space="preserve">explicitly </w:t>
            </w:r>
            <w:r w:rsidR="006712B4" w:rsidRPr="008B344D">
              <w:rPr>
                <w:color w:val="000000" w:themeColor="text1"/>
              </w:rPr>
              <w:t xml:space="preserve">empowers the Board to </w:t>
            </w:r>
            <w:r w:rsidR="00F262F5" w:rsidRPr="008B344D">
              <w:rPr>
                <w:color w:val="000000" w:themeColor="text1"/>
              </w:rPr>
              <w:t xml:space="preserve">reject or approve </w:t>
            </w:r>
            <w:proofErr w:type="gramStart"/>
            <w:r w:rsidR="00F262F5" w:rsidRPr="008B344D">
              <w:rPr>
                <w:color w:val="000000" w:themeColor="text1"/>
              </w:rPr>
              <w:t>applications</w:t>
            </w:r>
            <w:r w:rsidR="008B344D" w:rsidRPr="008B344D">
              <w:rPr>
                <w:color w:val="000000" w:themeColor="text1"/>
              </w:rPr>
              <w:t>, or</w:t>
            </w:r>
            <w:proofErr w:type="gramEnd"/>
            <w:r w:rsidR="008B344D" w:rsidRPr="008B344D">
              <w:rPr>
                <w:color w:val="000000" w:themeColor="text1"/>
              </w:rPr>
              <w:t xml:space="preserve"> delegate this process</w:t>
            </w:r>
            <w:r w:rsidR="00F262F5" w:rsidRPr="008B344D">
              <w:rPr>
                <w:color w:val="000000" w:themeColor="text1"/>
              </w:rPr>
              <w:t>.</w:t>
            </w:r>
          </w:p>
          <w:p w14:paraId="7A81BFCD" w14:textId="77777777" w:rsidR="00F262F5" w:rsidRPr="008B344D" w:rsidRDefault="00F262F5" w:rsidP="00060B0C">
            <w:pPr>
              <w:rPr>
                <w:color w:val="000000" w:themeColor="text1"/>
              </w:rPr>
            </w:pPr>
          </w:p>
          <w:p w14:paraId="5973FD55" w14:textId="68E1BA5E" w:rsidR="00F262F5" w:rsidRPr="008B344D" w:rsidRDefault="00F262F5" w:rsidP="00060B0C">
            <w:pPr>
              <w:rPr>
                <w:color w:val="000000" w:themeColor="text1"/>
              </w:rPr>
            </w:pPr>
            <w:r w:rsidRPr="008B344D">
              <w:rPr>
                <w:color w:val="000000" w:themeColor="text1"/>
              </w:rPr>
              <w:t>Rule 4(</w:t>
            </w:r>
            <w:r w:rsidR="008B344D" w:rsidRPr="008B344D">
              <w:rPr>
                <w:color w:val="000000" w:themeColor="text1"/>
              </w:rPr>
              <w:t>F</w:t>
            </w:r>
            <w:r w:rsidRPr="008B344D">
              <w:rPr>
                <w:color w:val="000000" w:themeColor="text1"/>
              </w:rPr>
              <w:t xml:space="preserve">) </w:t>
            </w:r>
            <w:r w:rsidR="008B344D" w:rsidRPr="008B344D">
              <w:rPr>
                <w:color w:val="000000" w:themeColor="text1"/>
              </w:rPr>
              <w:t>regarding grounds to refuse an application</w:t>
            </w:r>
            <w:r w:rsidRPr="008B344D">
              <w:rPr>
                <w:color w:val="000000" w:themeColor="text1"/>
              </w:rPr>
              <w:t xml:space="preserve"> has not been carried over</w:t>
            </w:r>
            <w:r w:rsidR="008B344D" w:rsidRPr="008B344D">
              <w:rPr>
                <w:color w:val="000000" w:themeColor="text1"/>
              </w:rPr>
              <w:t>.</w:t>
            </w:r>
          </w:p>
        </w:tc>
        <w:tc>
          <w:tcPr>
            <w:tcW w:w="5125" w:type="dxa"/>
          </w:tcPr>
          <w:p w14:paraId="03742681" w14:textId="77777777" w:rsidR="006934E2" w:rsidRPr="008B344D" w:rsidRDefault="007B1202" w:rsidP="00060B0C">
            <w:pPr>
              <w:rPr>
                <w:color w:val="000000" w:themeColor="text1"/>
              </w:rPr>
            </w:pPr>
            <w:r w:rsidRPr="008B344D">
              <w:rPr>
                <w:color w:val="000000" w:themeColor="text1"/>
              </w:rPr>
              <w:t xml:space="preserve">New </w:t>
            </w:r>
            <w:r w:rsidR="00060B0C" w:rsidRPr="008B344D">
              <w:rPr>
                <w:color w:val="000000" w:themeColor="text1"/>
              </w:rPr>
              <w:t xml:space="preserve">clause </w:t>
            </w:r>
            <w:r w:rsidR="006934E2" w:rsidRPr="008B344D">
              <w:rPr>
                <w:color w:val="000000" w:themeColor="text1"/>
              </w:rPr>
              <w:t>10</w:t>
            </w:r>
            <w:r w:rsidR="00060B0C" w:rsidRPr="008B344D">
              <w:rPr>
                <w:color w:val="000000" w:themeColor="text1"/>
              </w:rPr>
              <w:t xml:space="preserve"> </w:t>
            </w:r>
            <w:r w:rsidR="00F262F5" w:rsidRPr="008B344D">
              <w:rPr>
                <w:color w:val="000000" w:themeColor="text1"/>
              </w:rPr>
              <w:t>reflects</w:t>
            </w:r>
            <w:r w:rsidR="00060B0C" w:rsidRPr="008B344D">
              <w:rPr>
                <w:color w:val="000000" w:themeColor="text1"/>
              </w:rPr>
              <w:t xml:space="preserve"> the</w:t>
            </w:r>
            <w:r w:rsidR="00F262F5" w:rsidRPr="008B344D">
              <w:rPr>
                <w:color w:val="000000" w:themeColor="text1"/>
              </w:rPr>
              <w:t xml:space="preserve"> intent of the</w:t>
            </w:r>
            <w:r w:rsidR="00060B0C" w:rsidRPr="008B344D">
              <w:rPr>
                <w:color w:val="000000" w:themeColor="text1"/>
              </w:rPr>
              <w:t xml:space="preserve"> </w:t>
            </w:r>
            <w:r w:rsidR="006712B4" w:rsidRPr="008B344D">
              <w:rPr>
                <w:color w:val="000000" w:themeColor="text1"/>
              </w:rPr>
              <w:t xml:space="preserve">current </w:t>
            </w:r>
            <w:r w:rsidR="00060B0C" w:rsidRPr="008B344D">
              <w:rPr>
                <w:color w:val="000000" w:themeColor="text1"/>
              </w:rPr>
              <w:t>provision</w:t>
            </w:r>
            <w:r w:rsidR="006712B4" w:rsidRPr="008B344D">
              <w:rPr>
                <w:color w:val="000000" w:themeColor="text1"/>
              </w:rPr>
              <w:t>s</w:t>
            </w:r>
            <w:r w:rsidR="00F262F5" w:rsidRPr="008B344D">
              <w:rPr>
                <w:color w:val="000000" w:themeColor="text1"/>
              </w:rPr>
              <w:t xml:space="preserve"> </w:t>
            </w:r>
            <w:r w:rsidR="00060B0C" w:rsidRPr="008B344D">
              <w:rPr>
                <w:color w:val="000000" w:themeColor="text1"/>
              </w:rPr>
              <w:t>and is standard in CLG constitutions.</w:t>
            </w:r>
          </w:p>
          <w:p w14:paraId="05D9688B" w14:textId="77777777" w:rsidR="00F262F5" w:rsidRPr="008B344D" w:rsidRDefault="00F262F5" w:rsidP="00060B0C">
            <w:pPr>
              <w:rPr>
                <w:color w:val="000000" w:themeColor="text1"/>
              </w:rPr>
            </w:pPr>
          </w:p>
          <w:p w14:paraId="3B01BB90" w14:textId="77777777" w:rsidR="008B344D" w:rsidRPr="008B344D" w:rsidRDefault="008B344D" w:rsidP="00060B0C">
            <w:pPr>
              <w:rPr>
                <w:color w:val="000000" w:themeColor="text1"/>
              </w:rPr>
            </w:pPr>
          </w:p>
          <w:p w14:paraId="51CA8C74" w14:textId="0B3E1CEB" w:rsidR="00F262F5" w:rsidRPr="008B344D" w:rsidRDefault="008B344D" w:rsidP="00060B0C">
            <w:pPr>
              <w:rPr>
                <w:color w:val="000000" w:themeColor="text1"/>
              </w:rPr>
            </w:pPr>
            <w:r w:rsidRPr="008B344D">
              <w:rPr>
                <w:color w:val="000000" w:themeColor="text1"/>
              </w:rPr>
              <w:t>Specifying grounds to reject applications in the Constitution can be restrictive</w:t>
            </w:r>
            <w:r w:rsidR="00A60539">
              <w:rPr>
                <w:color w:val="000000" w:themeColor="text1"/>
              </w:rPr>
              <w:t xml:space="preserve"> and may</w:t>
            </w:r>
            <w:r w:rsidR="00A60539" w:rsidRPr="00A60539">
              <w:rPr>
                <w:color w:val="000000" w:themeColor="text1"/>
              </w:rPr>
              <w:t xml:space="preserve"> raise issues </w:t>
            </w:r>
            <w:r w:rsidR="00A60539">
              <w:rPr>
                <w:color w:val="000000" w:themeColor="text1"/>
              </w:rPr>
              <w:t>of</w:t>
            </w:r>
            <w:r w:rsidR="00A60539" w:rsidRPr="00A60539">
              <w:rPr>
                <w:color w:val="000000" w:themeColor="text1"/>
              </w:rPr>
              <w:t xml:space="preserve"> privacy, liability and reputational risk</w:t>
            </w:r>
            <w:r w:rsidR="00F262F5" w:rsidRPr="008B344D">
              <w:rPr>
                <w:color w:val="000000" w:themeColor="text1"/>
              </w:rPr>
              <w:t>.</w:t>
            </w:r>
            <w:r w:rsidRPr="008B344D">
              <w:rPr>
                <w:color w:val="000000" w:themeColor="text1"/>
              </w:rPr>
              <w:t xml:space="preserve"> It is more appropriate to set </w:t>
            </w:r>
            <w:r w:rsidR="008A1288">
              <w:rPr>
                <w:color w:val="000000" w:themeColor="text1"/>
              </w:rPr>
              <w:t xml:space="preserve">eligibility </w:t>
            </w:r>
            <w:r w:rsidRPr="008B344D">
              <w:rPr>
                <w:color w:val="000000" w:themeColor="text1"/>
              </w:rPr>
              <w:t>criteria in By-laws</w:t>
            </w:r>
            <w:r w:rsidR="00A60539">
              <w:rPr>
                <w:color w:val="000000" w:themeColor="text1"/>
              </w:rPr>
              <w:t>.</w:t>
            </w:r>
          </w:p>
        </w:tc>
      </w:tr>
      <w:tr w:rsidR="005005A2" w:rsidRPr="005005A2" w14:paraId="66BE9B78" w14:textId="77777777" w:rsidTr="005153F5">
        <w:tc>
          <w:tcPr>
            <w:tcW w:w="1099" w:type="dxa"/>
          </w:tcPr>
          <w:p w14:paraId="2B27FDC2" w14:textId="5805BDF0" w:rsidR="00060B0C" w:rsidRPr="008B344D" w:rsidRDefault="00060B0C" w:rsidP="00060B0C">
            <w:pPr>
              <w:rPr>
                <w:color w:val="000000" w:themeColor="text1"/>
              </w:rPr>
            </w:pPr>
            <w:r w:rsidRPr="008B344D">
              <w:rPr>
                <w:color w:val="000000" w:themeColor="text1"/>
              </w:rPr>
              <w:t>1</w:t>
            </w:r>
            <w:r w:rsidR="008B344D" w:rsidRPr="008B344D">
              <w:rPr>
                <w:color w:val="000000" w:themeColor="text1"/>
              </w:rPr>
              <w:t>0</w:t>
            </w:r>
          </w:p>
        </w:tc>
        <w:tc>
          <w:tcPr>
            <w:tcW w:w="1768" w:type="dxa"/>
          </w:tcPr>
          <w:p w14:paraId="383EBCAA" w14:textId="02D7B8F0" w:rsidR="00060B0C" w:rsidRPr="008B344D" w:rsidRDefault="00060B0C" w:rsidP="00060B0C">
            <w:pPr>
              <w:rPr>
                <w:color w:val="000000" w:themeColor="text1"/>
              </w:rPr>
            </w:pPr>
            <w:r w:rsidRPr="008B344D">
              <w:rPr>
                <w:color w:val="000000" w:themeColor="text1"/>
              </w:rPr>
              <w:t>Membership Fees</w:t>
            </w:r>
          </w:p>
        </w:tc>
        <w:tc>
          <w:tcPr>
            <w:tcW w:w="6325" w:type="dxa"/>
          </w:tcPr>
          <w:p w14:paraId="28DE745B" w14:textId="162AD81B" w:rsidR="00060B0C" w:rsidRPr="008B344D" w:rsidRDefault="008B344D" w:rsidP="00060B0C">
            <w:pPr>
              <w:rPr>
                <w:color w:val="000000" w:themeColor="text1"/>
              </w:rPr>
            </w:pPr>
            <w:r w:rsidRPr="008B344D">
              <w:rPr>
                <w:color w:val="000000" w:themeColor="text1"/>
              </w:rPr>
              <w:t xml:space="preserve">There is currently no membership fees clause. </w:t>
            </w:r>
            <w:r w:rsidR="006E6927" w:rsidRPr="008B344D">
              <w:rPr>
                <w:color w:val="000000" w:themeColor="text1"/>
              </w:rPr>
              <w:t>New clause 1</w:t>
            </w:r>
            <w:r w:rsidRPr="008B344D">
              <w:rPr>
                <w:color w:val="000000" w:themeColor="text1"/>
              </w:rPr>
              <w:t>0</w:t>
            </w:r>
            <w:r w:rsidR="006E6927" w:rsidRPr="008B344D">
              <w:rPr>
                <w:color w:val="000000" w:themeColor="text1"/>
              </w:rPr>
              <w:t xml:space="preserve"> clarifies that m</w:t>
            </w:r>
            <w:r w:rsidR="00060B0C" w:rsidRPr="008B344D">
              <w:rPr>
                <w:color w:val="000000" w:themeColor="text1"/>
              </w:rPr>
              <w:t xml:space="preserve">embership fees </w:t>
            </w:r>
            <w:r w:rsidR="00967652" w:rsidRPr="008B344D">
              <w:rPr>
                <w:color w:val="000000" w:themeColor="text1"/>
              </w:rPr>
              <w:t>may be waived or varied at the discretion of the Board</w:t>
            </w:r>
            <w:r w:rsidR="00F262F5" w:rsidRPr="008B344D">
              <w:rPr>
                <w:color w:val="000000" w:themeColor="text1"/>
              </w:rPr>
              <w:t>.</w:t>
            </w:r>
          </w:p>
          <w:p w14:paraId="20C1D93E" w14:textId="77777777" w:rsidR="008B344D" w:rsidRPr="008B344D" w:rsidRDefault="008B344D" w:rsidP="00060B0C">
            <w:pPr>
              <w:rPr>
                <w:color w:val="000000" w:themeColor="text1"/>
              </w:rPr>
            </w:pPr>
          </w:p>
          <w:p w14:paraId="59D8A0A5" w14:textId="1B331A21" w:rsidR="00060B0C" w:rsidRPr="008B344D" w:rsidRDefault="00060B0C" w:rsidP="00060B0C">
            <w:pPr>
              <w:rPr>
                <w:color w:val="000000" w:themeColor="text1"/>
              </w:rPr>
            </w:pPr>
            <w:r w:rsidRPr="008B344D">
              <w:rPr>
                <w:color w:val="000000" w:themeColor="text1"/>
              </w:rPr>
              <w:t xml:space="preserve">Failure to pay the membership fee may result in </w:t>
            </w:r>
            <w:r w:rsidR="00305033" w:rsidRPr="008B344D">
              <w:rPr>
                <w:color w:val="000000" w:themeColor="text1"/>
              </w:rPr>
              <w:t xml:space="preserve">automatic </w:t>
            </w:r>
            <w:r w:rsidRPr="008B344D">
              <w:rPr>
                <w:color w:val="000000" w:themeColor="text1"/>
              </w:rPr>
              <w:t>termination of membership per</w:t>
            </w:r>
            <w:r w:rsidR="007B1202" w:rsidRPr="008B344D">
              <w:rPr>
                <w:color w:val="000000" w:themeColor="text1"/>
              </w:rPr>
              <w:t xml:space="preserve"> the new</w:t>
            </w:r>
            <w:r w:rsidRPr="008B344D">
              <w:rPr>
                <w:color w:val="000000" w:themeColor="text1"/>
              </w:rPr>
              <w:t xml:space="preserve"> clause </w:t>
            </w:r>
            <w:r w:rsidR="006934E2" w:rsidRPr="008B344D">
              <w:rPr>
                <w:color w:val="000000" w:themeColor="text1"/>
              </w:rPr>
              <w:t>1</w:t>
            </w:r>
            <w:r w:rsidR="008B344D" w:rsidRPr="008B344D">
              <w:rPr>
                <w:color w:val="000000" w:themeColor="text1"/>
              </w:rPr>
              <w:t>0</w:t>
            </w:r>
            <w:r w:rsidRPr="008B344D">
              <w:rPr>
                <w:color w:val="000000" w:themeColor="text1"/>
              </w:rPr>
              <w:t>.</w:t>
            </w:r>
            <w:r w:rsidR="008B344D" w:rsidRPr="008B344D">
              <w:rPr>
                <w:color w:val="000000" w:themeColor="text1"/>
              </w:rPr>
              <w:t>4.</w:t>
            </w:r>
          </w:p>
        </w:tc>
        <w:tc>
          <w:tcPr>
            <w:tcW w:w="5125" w:type="dxa"/>
          </w:tcPr>
          <w:p w14:paraId="6697C071" w14:textId="15A9B6B0" w:rsidR="006712B4" w:rsidRPr="008B344D" w:rsidRDefault="00EC4AC2" w:rsidP="00060B0C">
            <w:pPr>
              <w:rPr>
                <w:color w:val="000000" w:themeColor="text1"/>
              </w:rPr>
            </w:pPr>
            <w:r w:rsidRPr="008B344D">
              <w:rPr>
                <w:color w:val="000000" w:themeColor="text1"/>
              </w:rPr>
              <w:t>These provisions are</w:t>
            </w:r>
            <w:r w:rsidR="006E6927" w:rsidRPr="008B344D">
              <w:rPr>
                <w:color w:val="000000" w:themeColor="text1"/>
              </w:rPr>
              <w:t xml:space="preserve"> a standard inclusion in CLG constitutions.</w:t>
            </w:r>
          </w:p>
        </w:tc>
      </w:tr>
      <w:tr w:rsidR="008B344D" w:rsidRPr="005005A2" w14:paraId="4243D12D" w14:textId="77777777" w:rsidTr="005153F5">
        <w:tc>
          <w:tcPr>
            <w:tcW w:w="1099" w:type="dxa"/>
          </w:tcPr>
          <w:p w14:paraId="372E9F76" w14:textId="62C6E32A" w:rsidR="008B344D" w:rsidRPr="008B344D" w:rsidRDefault="008B344D" w:rsidP="00060B0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11</w:t>
            </w:r>
          </w:p>
        </w:tc>
        <w:tc>
          <w:tcPr>
            <w:tcW w:w="1768" w:type="dxa"/>
          </w:tcPr>
          <w:p w14:paraId="12A84CD5" w14:textId="0256AC63" w:rsidR="008B344D" w:rsidRPr="008B344D" w:rsidRDefault="008B344D" w:rsidP="00060B0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Register of Members</w:t>
            </w:r>
          </w:p>
        </w:tc>
        <w:tc>
          <w:tcPr>
            <w:tcW w:w="6325" w:type="dxa"/>
          </w:tcPr>
          <w:p w14:paraId="2FDEF607" w14:textId="77777777" w:rsidR="008B344D" w:rsidRDefault="008B344D" w:rsidP="00060B0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The new clause </w:t>
            </w:r>
            <w:r w:rsidR="00A60539">
              <w:rPr>
                <w:color w:val="000000" w:themeColor="text1"/>
              </w:rPr>
              <w:t>11 reflects the requirements of the Act.</w:t>
            </w:r>
          </w:p>
          <w:p w14:paraId="369547D7" w14:textId="77777777" w:rsidR="00A60539" w:rsidRDefault="00A60539" w:rsidP="00060B0C">
            <w:pPr>
              <w:rPr>
                <w:color w:val="000000" w:themeColor="text1"/>
              </w:rPr>
            </w:pPr>
          </w:p>
          <w:p w14:paraId="5D984E7C" w14:textId="1EB75452" w:rsidR="00A60539" w:rsidRPr="008B344D" w:rsidRDefault="00A60539" w:rsidP="00060B0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Rule 8(d)(a) has not been carried over: “</w:t>
            </w:r>
            <w:r w:rsidRPr="00A60539">
              <w:rPr>
                <w:color w:val="000000" w:themeColor="text1"/>
              </w:rPr>
              <w:t>Information about a member, other than the member’s name, must not be made available for</w:t>
            </w:r>
            <w:r>
              <w:rPr>
                <w:color w:val="000000" w:themeColor="text1"/>
              </w:rPr>
              <w:t xml:space="preserve"> </w:t>
            </w:r>
            <w:r w:rsidRPr="00A60539">
              <w:rPr>
                <w:color w:val="000000" w:themeColor="text1"/>
              </w:rPr>
              <w:t>inspection if the member requests that the information not be made available.</w:t>
            </w:r>
            <w:r>
              <w:rPr>
                <w:color w:val="000000" w:themeColor="text1"/>
              </w:rPr>
              <w:t>”</w:t>
            </w:r>
          </w:p>
        </w:tc>
        <w:tc>
          <w:tcPr>
            <w:tcW w:w="5125" w:type="dxa"/>
          </w:tcPr>
          <w:p w14:paraId="3707D359" w14:textId="53A6C310" w:rsidR="008B344D" w:rsidRPr="008B344D" w:rsidRDefault="00A60539" w:rsidP="00060B0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In accordance with the Act.</w:t>
            </w:r>
          </w:p>
        </w:tc>
      </w:tr>
      <w:tr w:rsidR="005005A2" w:rsidRPr="005005A2" w14:paraId="770F5E96" w14:textId="77777777" w:rsidTr="005153F5">
        <w:tc>
          <w:tcPr>
            <w:tcW w:w="1099" w:type="dxa"/>
          </w:tcPr>
          <w:p w14:paraId="5BE34CC8" w14:textId="55E7E352" w:rsidR="00060B0C" w:rsidRPr="008B344D" w:rsidRDefault="00060B0C" w:rsidP="00060B0C">
            <w:pPr>
              <w:rPr>
                <w:color w:val="000000" w:themeColor="text1"/>
              </w:rPr>
            </w:pPr>
            <w:r w:rsidRPr="008B344D">
              <w:rPr>
                <w:color w:val="000000" w:themeColor="text1"/>
              </w:rPr>
              <w:t>1</w:t>
            </w:r>
            <w:r w:rsidR="008B344D">
              <w:rPr>
                <w:color w:val="000000" w:themeColor="text1"/>
              </w:rPr>
              <w:t>2</w:t>
            </w:r>
          </w:p>
        </w:tc>
        <w:tc>
          <w:tcPr>
            <w:tcW w:w="1768" w:type="dxa"/>
          </w:tcPr>
          <w:p w14:paraId="3A058713" w14:textId="2F997A01" w:rsidR="00060B0C" w:rsidRPr="008B344D" w:rsidRDefault="00060B0C" w:rsidP="00060B0C">
            <w:pPr>
              <w:rPr>
                <w:color w:val="000000" w:themeColor="text1"/>
              </w:rPr>
            </w:pPr>
            <w:r w:rsidRPr="008B344D">
              <w:rPr>
                <w:color w:val="000000" w:themeColor="text1"/>
              </w:rPr>
              <w:t>Ceasing to be a Member</w:t>
            </w:r>
          </w:p>
        </w:tc>
        <w:tc>
          <w:tcPr>
            <w:tcW w:w="6325" w:type="dxa"/>
          </w:tcPr>
          <w:p w14:paraId="011BA565" w14:textId="2DEA4398" w:rsidR="00060B0C" w:rsidRPr="008B344D" w:rsidRDefault="00060B0C" w:rsidP="00060B0C">
            <w:pPr>
              <w:rPr>
                <w:color w:val="000000" w:themeColor="text1"/>
              </w:rPr>
            </w:pPr>
            <w:r w:rsidRPr="008B344D">
              <w:rPr>
                <w:color w:val="000000" w:themeColor="text1"/>
              </w:rPr>
              <w:t>This clause specifies situations when a Member automatically ceases to be a Member.</w:t>
            </w:r>
          </w:p>
        </w:tc>
        <w:tc>
          <w:tcPr>
            <w:tcW w:w="5125" w:type="dxa"/>
          </w:tcPr>
          <w:p w14:paraId="1CA4BDBB" w14:textId="03A85D06" w:rsidR="00305033" w:rsidRPr="008B344D" w:rsidRDefault="006712B4" w:rsidP="00060B0C">
            <w:pPr>
              <w:rPr>
                <w:color w:val="000000" w:themeColor="text1"/>
              </w:rPr>
            </w:pPr>
            <w:r w:rsidRPr="008B344D">
              <w:rPr>
                <w:color w:val="000000" w:themeColor="text1"/>
              </w:rPr>
              <w:t xml:space="preserve">This carries over the intent of current </w:t>
            </w:r>
            <w:r w:rsidR="00F262F5" w:rsidRPr="008B344D">
              <w:rPr>
                <w:color w:val="000000" w:themeColor="text1"/>
              </w:rPr>
              <w:t>rule</w:t>
            </w:r>
            <w:r w:rsidRPr="008B344D">
              <w:rPr>
                <w:color w:val="000000" w:themeColor="text1"/>
              </w:rPr>
              <w:t xml:space="preserve"> </w:t>
            </w:r>
            <w:r w:rsidR="006E6927" w:rsidRPr="008B344D">
              <w:rPr>
                <w:color w:val="000000" w:themeColor="text1"/>
              </w:rPr>
              <w:t>5</w:t>
            </w:r>
            <w:r w:rsidRPr="008B344D">
              <w:rPr>
                <w:color w:val="000000" w:themeColor="text1"/>
              </w:rPr>
              <w:t>, with the addition of</w:t>
            </w:r>
            <w:r w:rsidR="007B1202" w:rsidRPr="008B344D">
              <w:rPr>
                <w:color w:val="000000" w:themeColor="text1"/>
              </w:rPr>
              <w:t xml:space="preserve"> new</w:t>
            </w:r>
            <w:r w:rsidRPr="008B344D">
              <w:rPr>
                <w:color w:val="000000" w:themeColor="text1"/>
              </w:rPr>
              <w:t xml:space="preserve"> sub-clauses </w:t>
            </w:r>
            <w:r w:rsidR="007B1202" w:rsidRPr="008B344D">
              <w:rPr>
                <w:color w:val="000000" w:themeColor="text1"/>
              </w:rPr>
              <w:t>1</w:t>
            </w:r>
            <w:r w:rsidR="008B344D">
              <w:rPr>
                <w:color w:val="000000" w:themeColor="text1"/>
              </w:rPr>
              <w:t>2.1</w:t>
            </w:r>
            <w:r w:rsidRPr="008B344D">
              <w:rPr>
                <w:color w:val="000000" w:themeColor="text1"/>
              </w:rPr>
              <w:t>(</w:t>
            </w:r>
            <w:r w:rsidR="00F262F5" w:rsidRPr="008B344D">
              <w:rPr>
                <w:color w:val="000000" w:themeColor="text1"/>
              </w:rPr>
              <w:t>d</w:t>
            </w:r>
            <w:r w:rsidRPr="008B344D">
              <w:rPr>
                <w:color w:val="000000" w:themeColor="text1"/>
              </w:rPr>
              <w:t>)</w:t>
            </w:r>
            <w:r w:rsidR="006E6927" w:rsidRPr="008B344D">
              <w:rPr>
                <w:color w:val="000000" w:themeColor="text1"/>
              </w:rPr>
              <w:t xml:space="preserve"> to (</w:t>
            </w:r>
            <w:r w:rsidR="00F262F5" w:rsidRPr="008B344D">
              <w:rPr>
                <w:color w:val="000000" w:themeColor="text1"/>
              </w:rPr>
              <w:t>h</w:t>
            </w:r>
            <w:r w:rsidR="006E6927" w:rsidRPr="008B344D">
              <w:rPr>
                <w:color w:val="000000" w:themeColor="text1"/>
              </w:rPr>
              <w:t xml:space="preserve">), </w:t>
            </w:r>
            <w:r w:rsidRPr="008B344D">
              <w:rPr>
                <w:color w:val="000000" w:themeColor="text1"/>
              </w:rPr>
              <w:t>allowing</w:t>
            </w:r>
            <w:r w:rsidR="000E3691" w:rsidRPr="008B344D">
              <w:rPr>
                <w:color w:val="000000" w:themeColor="text1"/>
              </w:rPr>
              <w:t xml:space="preserve"> relevant</w:t>
            </w:r>
            <w:r w:rsidRPr="008B344D">
              <w:rPr>
                <w:color w:val="000000" w:themeColor="text1"/>
              </w:rPr>
              <w:t xml:space="preserve"> </w:t>
            </w:r>
            <w:r w:rsidR="000E3691" w:rsidRPr="008B344D">
              <w:rPr>
                <w:color w:val="000000" w:themeColor="text1"/>
              </w:rPr>
              <w:t>additional</w:t>
            </w:r>
            <w:r w:rsidRPr="008B344D">
              <w:rPr>
                <w:color w:val="000000" w:themeColor="text1"/>
              </w:rPr>
              <w:t xml:space="preserve"> cessation events.</w:t>
            </w:r>
          </w:p>
        </w:tc>
      </w:tr>
      <w:tr w:rsidR="005005A2" w:rsidRPr="005005A2" w14:paraId="13EC1187" w14:textId="77777777" w:rsidTr="005153F5">
        <w:tc>
          <w:tcPr>
            <w:tcW w:w="1099" w:type="dxa"/>
          </w:tcPr>
          <w:p w14:paraId="22BB2980" w14:textId="756E4DB1" w:rsidR="00D50789" w:rsidRPr="00A60539" w:rsidRDefault="00D50789" w:rsidP="00D50789">
            <w:pPr>
              <w:rPr>
                <w:color w:val="000000" w:themeColor="text1"/>
              </w:rPr>
            </w:pPr>
            <w:r w:rsidRPr="00A60539">
              <w:rPr>
                <w:color w:val="000000" w:themeColor="text1"/>
              </w:rPr>
              <w:t>14</w:t>
            </w:r>
          </w:p>
        </w:tc>
        <w:tc>
          <w:tcPr>
            <w:tcW w:w="1768" w:type="dxa"/>
          </w:tcPr>
          <w:p w14:paraId="0133E16E" w14:textId="41DE82D0" w:rsidR="00D50789" w:rsidRPr="00A60539" w:rsidRDefault="006E6927" w:rsidP="00D50789">
            <w:pPr>
              <w:rPr>
                <w:color w:val="000000" w:themeColor="text1"/>
              </w:rPr>
            </w:pPr>
            <w:r w:rsidRPr="00A60539">
              <w:rPr>
                <w:color w:val="000000" w:themeColor="text1"/>
              </w:rPr>
              <w:t>Disciplinary Procedure</w:t>
            </w:r>
          </w:p>
        </w:tc>
        <w:tc>
          <w:tcPr>
            <w:tcW w:w="6325" w:type="dxa"/>
          </w:tcPr>
          <w:p w14:paraId="3E5BE8D7" w14:textId="69945F46" w:rsidR="00F262F5" w:rsidRPr="00A60539" w:rsidRDefault="00D50789" w:rsidP="00D50789">
            <w:pPr>
              <w:rPr>
                <w:color w:val="000000" w:themeColor="text1"/>
              </w:rPr>
            </w:pPr>
            <w:r w:rsidRPr="00A60539">
              <w:rPr>
                <w:color w:val="000000" w:themeColor="text1"/>
              </w:rPr>
              <w:t>Th</w:t>
            </w:r>
            <w:r w:rsidR="00F262F5" w:rsidRPr="00A60539">
              <w:rPr>
                <w:color w:val="000000" w:themeColor="text1"/>
              </w:rPr>
              <w:t>e intent of</w:t>
            </w:r>
            <w:r w:rsidRPr="00A60539">
              <w:rPr>
                <w:color w:val="000000" w:themeColor="text1"/>
              </w:rPr>
              <w:t xml:space="preserve"> current </w:t>
            </w:r>
            <w:r w:rsidR="00F262F5" w:rsidRPr="00A60539">
              <w:rPr>
                <w:color w:val="000000" w:themeColor="text1"/>
              </w:rPr>
              <w:t>rule 1</w:t>
            </w:r>
            <w:r w:rsidR="00A60539" w:rsidRPr="00A60539">
              <w:rPr>
                <w:color w:val="000000" w:themeColor="text1"/>
              </w:rPr>
              <w:t>0</w:t>
            </w:r>
            <w:r w:rsidR="00F262F5" w:rsidRPr="00A60539">
              <w:rPr>
                <w:color w:val="000000" w:themeColor="text1"/>
              </w:rPr>
              <w:t xml:space="preserve"> has been carried over</w:t>
            </w:r>
            <w:r w:rsidR="006E6927" w:rsidRPr="00A60539">
              <w:rPr>
                <w:color w:val="000000" w:themeColor="text1"/>
              </w:rPr>
              <w:t xml:space="preserve"> with the addition of </w:t>
            </w:r>
            <w:r w:rsidR="00F262F5" w:rsidRPr="00A60539">
              <w:rPr>
                <w:color w:val="000000" w:themeColor="text1"/>
              </w:rPr>
              <w:t xml:space="preserve">details regarding the process (new clauses </w:t>
            </w:r>
            <w:r w:rsidR="00A60539" w:rsidRPr="00A60539">
              <w:rPr>
                <w:color w:val="000000" w:themeColor="text1"/>
              </w:rPr>
              <w:t>13</w:t>
            </w:r>
            <w:r w:rsidR="00F262F5" w:rsidRPr="00A60539">
              <w:rPr>
                <w:color w:val="000000" w:themeColor="text1"/>
              </w:rPr>
              <w:t>.</w:t>
            </w:r>
            <w:r w:rsidR="00A60539" w:rsidRPr="00A60539">
              <w:rPr>
                <w:color w:val="000000" w:themeColor="text1"/>
              </w:rPr>
              <w:t>2</w:t>
            </w:r>
            <w:r w:rsidR="00F262F5" w:rsidRPr="00A60539">
              <w:rPr>
                <w:color w:val="000000" w:themeColor="text1"/>
              </w:rPr>
              <w:t xml:space="preserve"> </w:t>
            </w:r>
            <w:r w:rsidR="00A60539" w:rsidRPr="00A60539">
              <w:rPr>
                <w:color w:val="000000" w:themeColor="text1"/>
              </w:rPr>
              <w:t>to</w:t>
            </w:r>
            <w:r w:rsidR="00F262F5" w:rsidRPr="00A60539">
              <w:rPr>
                <w:color w:val="000000" w:themeColor="text1"/>
              </w:rPr>
              <w:t xml:space="preserve"> 1</w:t>
            </w:r>
            <w:r w:rsidR="00A60539" w:rsidRPr="00A60539">
              <w:rPr>
                <w:color w:val="000000" w:themeColor="text1"/>
              </w:rPr>
              <w:t>3</w:t>
            </w:r>
            <w:r w:rsidR="00F262F5" w:rsidRPr="00A60539">
              <w:rPr>
                <w:color w:val="000000" w:themeColor="text1"/>
              </w:rPr>
              <w:t>.4), wider scope of disciplinary actions (new clause 1</w:t>
            </w:r>
            <w:r w:rsidR="00A60539" w:rsidRPr="00A60539">
              <w:rPr>
                <w:color w:val="000000" w:themeColor="text1"/>
              </w:rPr>
              <w:t>3</w:t>
            </w:r>
            <w:r w:rsidR="00F262F5" w:rsidRPr="00A60539">
              <w:rPr>
                <w:color w:val="000000" w:themeColor="text1"/>
              </w:rPr>
              <w:t xml:space="preserve">.5) </w:t>
            </w:r>
            <w:r w:rsidR="006E6927" w:rsidRPr="00A60539">
              <w:rPr>
                <w:color w:val="000000" w:themeColor="text1"/>
              </w:rPr>
              <w:t>and clarification of the duties of a suspended member (new clause 1</w:t>
            </w:r>
            <w:r w:rsidR="00A60539" w:rsidRPr="00A60539">
              <w:rPr>
                <w:color w:val="000000" w:themeColor="text1"/>
              </w:rPr>
              <w:t>3</w:t>
            </w:r>
            <w:r w:rsidR="006E6927" w:rsidRPr="00A60539">
              <w:rPr>
                <w:color w:val="000000" w:themeColor="text1"/>
              </w:rPr>
              <w:t>.</w:t>
            </w:r>
            <w:r w:rsidR="00F262F5" w:rsidRPr="00A60539">
              <w:rPr>
                <w:color w:val="000000" w:themeColor="text1"/>
              </w:rPr>
              <w:t>7</w:t>
            </w:r>
            <w:r w:rsidR="006E6927" w:rsidRPr="00A60539">
              <w:rPr>
                <w:color w:val="000000" w:themeColor="text1"/>
              </w:rPr>
              <w:t>).</w:t>
            </w:r>
            <w:r w:rsidR="006E6881" w:rsidRPr="00A60539">
              <w:rPr>
                <w:color w:val="000000" w:themeColor="text1"/>
              </w:rPr>
              <w:t xml:space="preserve"> </w:t>
            </w:r>
            <w:r w:rsidR="00F262F5" w:rsidRPr="00A60539">
              <w:rPr>
                <w:color w:val="000000" w:themeColor="text1"/>
              </w:rPr>
              <w:t>The appeal to a General Meeting</w:t>
            </w:r>
            <w:r w:rsidR="00A60539" w:rsidRPr="00A60539">
              <w:rPr>
                <w:color w:val="000000" w:themeColor="text1"/>
              </w:rPr>
              <w:t xml:space="preserve"> in current rule 11</w:t>
            </w:r>
            <w:r w:rsidR="00F262F5" w:rsidRPr="00A60539">
              <w:rPr>
                <w:color w:val="000000" w:themeColor="text1"/>
              </w:rPr>
              <w:t xml:space="preserve"> will not be carried over.</w:t>
            </w:r>
          </w:p>
        </w:tc>
        <w:tc>
          <w:tcPr>
            <w:tcW w:w="5125" w:type="dxa"/>
          </w:tcPr>
          <w:p w14:paraId="100EFD81" w14:textId="77777777" w:rsidR="00D50789" w:rsidRPr="00A60539" w:rsidRDefault="00D50789" w:rsidP="00D50789">
            <w:pPr>
              <w:rPr>
                <w:color w:val="000000" w:themeColor="text1"/>
              </w:rPr>
            </w:pPr>
            <w:r w:rsidRPr="00A60539">
              <w:rPr>
                <w:color w:val="000000" w:themeColor="text1"/>
              </w:rPr>
              <w:t>The provisions provide more clarity</w:t>
            </w:r>
            <w:r w:rsidR="008836A9" w:rsidRPr="00A60539">
              <w:rPr>
                <w:color w:val="000000" w:themeColor="text1"/>
              </w:rPr>
              <w:t xml:space="preserve"> to the current procedures</w:t>
            </w:r>
            <w:r w:rsidR="006E6927" w:rsidRPr="00A60539">
              <w:rPr>
                <w:color w:val="000000" w:themeColor="text1"/>
              </w:rPr>
              <w:t>.</w:t>
            </w:r>
          </w:p>
          <w:p w14:paraId="281855A8" w14:textId="77777777" w:rsidR="00F262F5" w:rsidRPr="00A60539" w:rsidRDefault="00F262F5" w:rsidP="00D50789">
            <w:pPr>
              <w:rPr>
                <w:color w:val="000000" w:themeColor="text1"/>
              </w:rPr>
            </w:pPr>
          </w:p>
          <w:p w14:paraId="67005C91" w14:textId="3CF74954" w:rsidR="00F262F5" w:rsidRPr="00A60539" w:rsidRDefault="00F262F5" w:rsidP="00D50789">
            <w:pPr>
              <w:rPr>
                <w:color w:val="000000" w:themeColor="text1"/>
              </w:rPr>
            </w:pPr>
            <w:r w:rsidRPr="00A60539">
              <w:rPr>
                <w:color w:val="000000" w:themeColor="text1"/>
              </w:rPr>
              <w:t>It is not recommended to appeal to a General Meeting as</w:t>
            </w:r>
            <w:r w:rsidR="008E709C">
              <w:rPr>
                <w:color w:val="000000" w:themeColor="text1"/>
              </w:rPr>
              <w:t xml:space="preserve"> this is not the appropriate forum to deal with sensitive disciplinary matters and</w:t>
            </w:r>
            <w:r w:rsidRPr="00A60539">
              <w:rPr>
                <w:color w:val="000000" w:themeColor="text1"/>
              </w:rPr>
              <w:t xml:space="preserve"> </w:t>
            </w:r>
            <w:r w:rsidR="006E6881" w:rsidRPr="00A60539">
              <w:rPr>
                <w:color w:val="000000" w:themeColor="text1"/>
              </w:rPr>
              <w:t>can raise issues regarding privacy</w:t>
            </w:r>
            <w:r w:rsidR="008E709C">
              <w:rPr>
                <w:color w:val="000000" w:themeColor="text1"/>
              </w:rPr>
              <w:t xml:space="preserve"> </w:t>
            </w:r>
            <w:r w:rsidR="006E6881" w:rsidRPr="00A60539">
              <w:rPr>
                <w:color w:val="000000" w:themeColor="text1"/>
              </w:rPr>
              <w:t>and reputational risk.</w:t>
            </w:r>
          </w:p>
        </w:tc>
      </w:tr>
      <w:tr w:rsidR="005005A2" w:rsidRPr="005005A2" w14:paraId="5FD774DD" w14:textId="77777777" w:rsidTr="005153F5">
        <w:tc>
          <w:tcPr>
            <w:tcW w:w="1099" w:type="dxa"/>
          </w:tcPr>
          <w:p w14:paraId="2EDC5AE2" w14:textId="67AB2869" w:rsidR="006712B4" w:rsidRPr="007F7442" w:rsidRDefault="006712B4" w:rsidP="006712B4">
            <w:pPr>
              <w:rPr>
                <w:color w:val="000000" w:themeColor="text1"/>
              </w:rPr>
            </w:pPr>
            <w:r w:rsidRPr="007F7442">
              <w:rPr>
                <w:color w:val="000000" w:themeColor="text1"/>
              </w:rPr>
              <w:t>Part C</w:t>
            </w:r>
          </w:p>
        </w:tc>
        <w:tc>
          <w:tcPr>
            <w:tcW w:w="1768" w:type="dxa"/>
          </w:tcPr>
          <w:p w14:paraId="56975DF3" w14:textId="2C3A3417" w:rsidR="006712B4" w:rsidRPr="007F7442" w:rsidRDefault="006712B4" w:rsidP="006712B4">
            <w:pPr>
              <w:rPr>
                <w:color w:val="000000" w:themeColor="text1"/>
              </w:rPr>
            </w:pPr>
            <w:r w:rsidRPr="007F7442">
              <w:rPr>
                <w:color w:val="000000" w:themeColor="text1"/>
              </w:rPr>
              <w:t>General Meetings</w:t>
            </w:r>
          </w:p>
        </w:tc>
        <w:tc>
          <w:tcPr>
            <w:tcW w:w="6325" w:type="dxa"/>
          </w:tcPr>
          <w:p w14:paraId="1846C267" w14:textId="0EBD8B5E" w:rsidR="00F73A3E" w:rsidRPr="007F7442" w:rsidRDefault="006712B4" w:rsidP="006712B4">
            <w:pPr>
              <w:rPr>
                <w:color w:val="000000" w:themeColor="text1"/>
              </w:rPr>
            </w:pPr>
            <w:r w:rsidRPr="007F7442">
              <w:rPr>
                <w:color w:val="000000" w:themeColor="text1"/>
              </w:rPr>
              <w:t>The quorum</w:t>
            </w:r>
            <w:r w:rsidR="006E6927" w:rsidRPr="007F7442">
              <w:rPr>
                <w:color w:val="000000" w:themeColor="text1"/>
              </w:rPr>
              <w:t xml:space="preserve"> </w:t>
            </w:r>
            <w:r w:rsidR="007F7442" w:rsidRPr="007F7442">
              <w:rPr>
                <w:color w:val="000000" w:themeColor="text1"/>
              </w:rPr>
              <w:t xml:space="preserve">will be </w:t>
            </w:r>
            <w:r w:rsidR="006E6927" w:rsidRPr="007F7442">
              <w:rPr>
                <w:color w:val="000000" w:themeColor="text1"/>
              </w:rPr>
              <w:t>“</w:t>
            </w:r>
            <w:r w:rsidR="007F7442" w:rsidRPr="007F7442">
              <w:rPr>
                <w:color w:val="000000" w:themeColor="text1"/>
              </w:rPr>
              <w:t>10</w:t>
            </w:r>
            <w:r w:rsidR="006E6927" w:rsidRPr="007F7442">
              <w:rPr>
                <w:color w:val="000000" w:themeColor="text1"/>
              </w:rPr>
              <w:t xml:space="preserve"> Voting Members entitled to vote present in person</w:t>
            </w:r>
            <w:r w:rsidR="007F7442" w:rsidRPr="007F7442">
              <w:rPr>
                <w:color w:val="000000" w:themeColor="text1"/>
              </w:rPr>
              <w:t xml:space="preserve"> </w:t>
            </w:r>
            <w:r w:rsidR="00F262F5" w:rsidRPr="007F7442">
              <w:rPr>
                <w:color w:val="000000" w:themeColor="text1"/>
              </w:rPr>
              <w:t>or</w:t>
            </w:r>
            <w:r w:rsidR="006E6927" w:rsidRPr="007F7442">
              <w:rPr>
                <w:color w:val="000000" w:themeColor="text1"/>
              </w:rPr>
              <w:t xml:space="preserve"> by proxy”.</w:t>
            </w:r>
          </w:p>
          <w:p w14:paraId="245B278C" w14:textId="77777777" w:rsidR="007F7442" w:rsidRPr="007F7442" w:rsidRDefault="007F7442" w:rsidP="006712B4">
            <w:pPr>
              <w:rPr>
                <w:color w:val="000000" w:themeColor="text1"/>
              </w:rPr>
            </w:pPr>
          </w:p>
          <w:p w14:paraId="5A11E1A5" w14:textId="77777777" w:rsidR="006712B4" w:rsidRPr="007F7442" w:rsidRDefault="006712B4" w:rsidP="006712B4">
            <w:pPr>
              <w:rPr>
                <w:color w:val="000000" w:themeColor="text1"/>
              </w:rPr>
            </w:pPr>
            <w:r w:rsidRPr="007F7442">
              <w:rPr>
                <w:color w:val="000000" w:themeColor="text1"/>
              </w:rPr>
              <w:t>The following key changes are noted:</w:t>
            </w:r>
          </w:p>
          <w:p w14:paraId="70601BA2" w14:textId="5C05A52C" w:rsidR="007F7442" w:rsidRPr="007F7442" w:rsidRDefault="007F7442" w:rsidP="006712B4">
            <w:pPr>
              <w:pStyle w:val="ListParagraph"/>
              <w:numPr>
                <w:ilvl w:val="0"/>
                <w:numId w:val="4"/>
              </w:numPr>
            </w:pPr>
            <w:r w:rsidRPr="007F7442">
              <w:t>There will only be one ‘routine’ General Meeting, known as the Annual General Meeting. This will be held within 5 months after the end of the financial year.</w:t>
            </w:r>
          </w:p>
          <w:p w14:paraId="256B8C92" w14:textId="5678B90D" w:rsidR="007C7245" w:rsidRPr="007F7442" w:rsidRDefault="007C7245" w:rsidP="006712B4">
            <w:pPr>
              <w:pStyle w:val="ListParagraph"/>
              <w:numPr>
                <w:ilvl w:val="0"/>
                <w:numId w:val="4"/>
              </w:numPr>
            </w:pPr>
            <w:r w:rsidRPr="007F7442">
              <w:t>Provisions have been added to allow for virtual meetings</w:t>
            </w:r>
            <w:r w:rsidR="003302DE" w:rsidRPr="007F7442">
              <w:t xml:space="preserve"> and direct voting.</w:t>
            </w:r>
          </w:p>
          <w:p w14:paraId="4AAE14F0" w14:textId="4978DED3" w:rsidR="008E7F76" w:rsidRDefault="008E7F76" w:rsidP="006712B4">
            <w:pPr>
              <w:pStyle w:val="ListParagraph"/>
              <w:numPr>
                <w:ilvl w:val="0"/>
                <w:numId w:val="4"/>
              </w:numPr>
            </w:pPr>
            <w:r w:rsidRPr="007F7442">
              <w:lastRenderedPageBreak/>
              <w:t>The notice period has been revised to 21 days in line with the Act.</w:t>
            </w:r>
          </w:p>
          <w:p w14:paraId="43E905BF" w14:textId="77777777" w:rsidR="00C4331A" w:rsidRPr="007F7442" w:rsidRDefault="00C4331A" w:rsidP="00C4331A">
            <w:pPr>
              <w:pStyle w:val="ListParagraph"/>
              <w:numPr>
                <w:ilvl w:val="0"/>
                <w:numId w:val="4"/>
              </w:numPr>
            </w:pPr>
            <w:r w:rsidRPr="007F7442">
              <w:t xml:space="preserve">New clause </w:t>
            </w:r>
            <w:r>
              <w:t>19.5</w:t>
            </w:r>
            <w:r w:rsidRPr="007F7442">
              <w:t xml:space="preserve"> allows the Board flexibility to cancel or postpone a General Meeting without needing consent of majority of members present.</w:t>
            </w:r>
          </w:p>
          <w:p w14:paraId="5AFBF451" w14:textId="77777777" w:rsidR="006E6881" w:rsidRPr="007F7442" w:rsidRDefault="006E6881" w:rsidP="007B1202">
            <w:pPr>
              <w:pStyle w:val="ListParagraph"/>
              <w:numPr>
                <w:ilvl w:val="0"/>
                <w:numId w:val="4"/>
              </w:numPr>
            </w:pPr>
            <w:r w:rsidRPr="007F7442">
              <w:t xml:space="preserve">Adjourned meetings will need to meet the same quorum, not a reduced quorum. </w:t>
            </w:r>
          </w:p>
          <w:p w14:paraId="7BA8558E" w14:textId="77777777" w:rsidR="007B1202" w:rsidRDefault="006E6881" w:rsidP="007B1202">
            <w:pPr>
              <w:pStyle w:val="ListParagraph"/>
              <w:numPr>
                <w:ilvl w:val="0"/>
                <w:numId w:val="4"/>
              </w:numPr>
            </w:pPr>
            <w:r w:rsidRPr="007F7442">
              <w:t>Notice of an adjourned meeting will be required after 30 days from the adjournment, not 14 days.</w:t>
            </w:r>
          </w:p>
          <w:p w14:paraId="25CAE4DB" w14:textId="77777777" w:rsidR="00C4331A" w:rsidRDefault="00C4331A" w:rsidP="00C4331A">
            <w:pPr>
              <w:pStyle w:val="ListParagraph"/>
              <w:numPr>
                <w:ilvl w:val="0"/>
                <w:numId w:val="4"/>
              </w:numPr>
            </w:pPr>
            <w:r w:rsidRPr="007F7442">
              <w:t xml:space="preserve">Provisions regarding polls in new clause </w:t>
            </w:r>
            <w:r>
              <w:t>21</w:t>
            </w:r>
            <w:r w:rsidRPr="007F7442">
              <w:t>.5 have been updated to align with the Act.</w:t>
            </w:r>
          </w:p>
          <w:p w14:paraId="760727B4" w14:textId="31D65E9D" w:rsidR="00C4331A" w:rsidRDefault="00C4331A" w:rsidP="00C4331A">
            <w:pPr>
              <w:pStyle w:val="ListParagraph"/>
              <w:numPr>
                <w:ilvl w:val="0"/>
                <w:numId w:val="4"/>
              </w:numPr>
            </w:pPr>
            <w:r w:rsidRPr="007F7442">
              <w:t xml:space="preserve">Provisions have been added for member resolutions </w:t>
            </w:r>
            <w:r>
              <w:t>in new</w:t>
            </w:r>
            <w:r w:rsidRPr="007F7442">
              <w:t xml:space="preserve"> clause 2</w:t>
            </w:r>
            <w:r>
              <w:t>2 per the Act</w:t>
            </w:r>
            <w:r w:rsidRPr="007F7442">
              <w:t>.</w:t>
            </w:r>
          </w:p>
          <w:p w14:paraId="64C84C21" w14:textId="77777777" w:rsidR="00C4331A" w:rsidRDefault="00C4331A" w:rsidP="00C4331A">
            <w:pPr>
              <w:pStyle w:val="ListParagraph"/>
              <w:numPr>
                <w:ilvl w:val="0"/>
                <w:numId w:val="4"/>
              </w:numPr>
            </w:pPr>
            <w:r w:rsidRPr="007F7442">
              <w:t>The chairperson no longer has a casting/deliberative vote on tied resolutions. Tied resolutions will fail to pass.</w:t>
            </w:r>
          </w:p>
          <w:p w14:paraId="2862D565" w14:textId="249FA6CB" w:rsidR="00C4331A" w:rsidRDefault="00C4331A" w:rsidP="00C4331A">
            <w:pPr>
              <w:pStyle w:val="ListParagraph"/>
              <w:numPr>
                <w:ilvl w:val="0"/>
                <w:numId w:val="4"/>
              </w:numPr>
            </w:pPr>
            <w:r>
              <w:t>The restriction on the number of proxies held by a member (10 proxies) has not been carried over.</w:t>
            </w:r>
          </w:p>
          <w:p w14:paraId="64FFB325" w14:textId="77777777" w:rsidR="00C4331A" w:rsidRDefault="00C4331A" w:rsidP="00C4331A">
            <w:pPr>
              <w:pStyle w:val="ListParagraph"/>
              <w:numPr>
                <w:ilvl w:val="0"/>
                <w:numId w:val="4"/>
              </w:numPr>
            </w:pPr>
            <w:r>
              <w:t>Quorum for a constitutional change of “25% of the total membership of the Association, including proxies” will not be carried over, there will only be one quorum.</w:t>
            </w:r>
          </w:p>
          <w:p w14:paraId="07FC28EB" w14:textId="7AE2C79B" w:rsidR="00C4331A" w:rsidRPr="007F7442" w:rsidRDefault="00C4331A" w:rsidP="00C4331A">
            <w:pPr>
              <w:pStyle w:val="ListParagraph"/>
              <w:numPr>
                <w:ilvl w:val="0"/>
                <w:numId w:val="4"/>
              </w:numPr>
            </w:pPr>
            <w:r>
              <w:t>Current rule 26 regarding “Transaction Of Business Outside Meetings Or By Telephone Or Other Means” has not been carried over.</w:t>
            </w:r>
          </w:p>
        </w:tc>
        <w:tc>
          <w:tcPr>
            <w:tcW w:w="5125" w:type="dxa"/>
          </w:tcPr>
          <w:p w14:paraId="653A09D9" w14:textId="44D443DD" w:rsidR="006712B4" w:rsidRPr="007F7442" w:rsidRDefault="006712B4" w:rsidP="00EC4AC2">
            <w:pPr>
              <w:tabs>
                <w:tab w:val="left" w:pos="203"/>
              </w:tabs>
              <w:rPr>
                <w:color w:val="000000" w:themeColor="text1"/>
              </w:rPr>
            </w:pPr>
            <w:r w:rsidRPr="007F7442">
              <w:rPr>
                <w:color w:val="000000" w:themeColor="text1"/>
              </w:rPr>
              <w:lastRenderedPageBreak/>
              <w:t xml:space="preserve">These provisions are standard </w:t>
            </w:r>
            <w:r w:rsidR="00957578" w:rsidRPr="007F7442">
              <w:rPr>
                <w:color w:val="000000" w:themeColor="text1"/>
              </w:rPr>
              <w:t>clauses in</w:t>
            </w:r>
            <w:r w:rsidRPr="007F7442">
              <w:rPr>
                <w:color w:val="000000" w:themeColor="text1"/>
              </w:rPr>
              <w:t xml:space="preserve"> </w:t>
            </w:r>
            <w:r w:rsidR="006E6881" w:rsidRPr="007F7442">
              <w:rPr>
                <w:color w:val="000000" w:themeColor="text1"/>
              </w:rPr>
              <w:t xml:space="preserve">CLG </w:t>
            </w:r>
            <w:r w:rsidRPr="007F7442">
              <w:rPr>
                <w:color w:val="000000" w:themeColor="text1"/>
              </w:rPr>
              <w:t>constitutions.</w:t>
            </w:r>
          </w:p>
          <w:p w14:paraId="6FBA7996" w14:textId="5037C2C4" w:rsidR="006712B4" w:rsidRPr="007F7442" w:rsidRDefault="006712B4" w:rsidP="006712B4">
            <w:pPr>
              <w:rPr>
                <w:color w:val="000000" w:themeColor="text1"/>
              </w:rPr>
            </w:pPr>
          </w:p>
        </w:tc>
      </w:tr>
      <w:tr w:rsidR="00EC4AC2" w:rsidRPr="005005A2" w14:paraId="11057813" w14:textId="77777777" w:rsidTr="005005A2">
        <w:tc>
          <w:tcPr>
            <w:tcW w:w="1099" w:type="dxa"/>
          </w:tcPr>
          <w:p w14:paraId="15C92E1A" w14:textId="7FCB1711" w:rsidR="00EC4AC2" w:rsidRPr="00C40FF3" w:rsidRDefault="00EC4AC2" w:rsidP="00EC4AC2">
            <w:pPr>
              <w:rPr>
                <w:color w:val="000000" w:themeColor="text1"/>
              </w:rPr>
            </w:pPr>
            <w:r w:rsidRPr="00C40FF3">
              <w:rPr>
                <w:color w:val="000000" w:themeColor="text1"/>
              </w:rPr>
              <w:t>2</w:t>
            </w:r>
            <w:r w:rsidR="00C40FF3" w:rsidRPr="00C40FF3">
              <w:rPr>
                <w:color w:val="000000" w:themeColor="text1"/>
              </w:rPr>
              <w:t>4</w:t>
            </w:r>
          </w:p>
        </w:tc>
        <w:tc>
          <w:tcPr>
            <w:tcW w:w="1768" w:type="dxa"/>
          </w:tcPr>
          <w:p w14:paraId="61FA5B6F" w14:textId="2F2CDABD" w:rsidR="00EC4AC2" w:rsidRPr="00C40FF3" w:rsidRDefault="00EC4AC2" w:rsidP="00EC4AC2">
            <w:pPr>
              <w:rPr>
                <w:color w:val="000000" w:themeColor="text1"/>
              </w:rPr>
            </w:pPr>
            <w:r w:rsidRPr="00C40FF3">
              <w:rPr>
                <w:color w:val="000000" w:themeColor="text1"/>
              </w:rPr>
              <w:t>Board Composition</w:t>
            </w:r>
          </w:p>
        </w:tc>
        <w:tc>
          <w:tcPr>
            <w:tcW w:w="6325" w:type="dxa"/>
          </w:tcPr>
          <w:p w14:paraId="059C0706" w14:textId="0F7B2786" w:rsidR="008E709C" w:rsidRDefault="008E709C" w:rsidP="00EC4AC2">
            <w:pPr>
              <w:tabs>
                <w:tab w:val="left" w:pos="1480"/>
              </w:tabs>
              <w:rPr>
                <w:color w:val="000000" w:themeColor="text1"/>
                <w:szCs w:val="22"/>
                <w:lang w:val="en-GB"/>
              </w:rPr>
            </w:pPr>
            <w:r>
              <w:rPr>
                <w:color w:val="000000" w:themeColor="text1"/>
                <w:szCs w:val="22"/>
                <w:lang w:val="en-GB"/>
              </w:rPr>
              <w:t>The Executive Committee will be renamed as the Board of Directors, in line with contemporary terminology.</w:t>
            </w:r>
          </w:p>
          <w:p w14:paraId="4298EC29" w14:textId="4D95C464" w:rsidR="00EC4AC2" w:rsidRPr="00C40FF3" w:rsidRDefault="00EC4AC2" w:rsidP="00EC4AC2">
            <w:pPr>
              <w:tabs>
                <w:tab w:val="left" w:pos="1480"/>
              </w:tabs>
              <w:rPr>
                <w:color w:val="000000" w:themeColor="text1"/>
                <w:szCs w:val="22"/>
                <w:lang w:val="en-GB"/>
              </w:rPr>
            </w:pPr>
            <w:r w:rsidRPr="00C40FF3">
              <w:rPr>
                <w:color w:val="000000" w:themeColor="text1"/>
                <w:szCs w:val="22"/>
                <w:lang w:val="en-GB"/>
              </w:rPr>
              <w:lastRenderedPageBreak/>
              <w:t xml:space="preserve">The Board size remains at </w:t>
            </w:r>
            <w:r w:rsidR="00795E81" w:rsidRPr="00C40FF3">
              <w:rPr>
                <w:color w:val="000000" w:themeColor="text1"/>
                <w:szCs w:val="22"/>
                <w:lang w:val="en-GB"/>
              </w:rPr>
              <w:t>10</w:t>
            </w:r>
            <w:r w:rsidRPr="00C40FF3">
              <w:rPr>
                <w:color w:val="000000" w:themeColor="text1"/>
                <w:szCs w:val="22"/>
                <w:lang w:val="en-GB"/>
              </w:rPr>
              <w:t xml:space="preserve"> Directors, but the composition has been revised to:</w:t>
            </w:r>
          </w:p>
          <w:p w14:paraId="1FC0059F" w14:textId="7307DB5A" w:rsidR="00EC4AC2" w:rsidRPr="00C40FF3" w:rsidRDefault="006E6881" w:rsidP="00EC4AC2">
            <w:pPr>
              <w:pStyle w:val="ListParagraph"/>
              <w:numPr>
                <w:ilvl w:val="0"/>
                <w:numId w:val="12"/>
              </w:numPr>
              <w:tabs>
                <w:tab w:val="left" w:pos="1480"/>
              </w:tabs>
              <w:rPr>
                <w:szCs w:val="22"/>
              </w:rPr>
            </w:pPr>
            <w:r w:rsidRPr="00C40FF3">
              <w:rPr>
                <w:szCs w:val="22"/>
              </w:rPr>
              <w:t>eight</w:t>
            </w:r>
            <w:r w:rsidR="00EC4AC2" w:rsidRPr="00C40FF3">
              <w:rPr>
                <w:szCs w:val="22"/>
              </w:rPr>
              <w:t xml:space="preserve"> Elected Directors elected by the Voting Members, and</w:t>
            </w:r>
          </w:p>
          <w:p w14:paraId="24A46BDF" w14:textId="25F5DFD3" w:rsidR="00EC4AC2" w:rsidRPr="00C40FF3" w:rsidRDefault="00EC4AC2" w:rsidP="00EC4AC2">
            <w:pPr>
              <w:pStyle w:val="ListParagraph"/>
              <w:numPr>
                <w:ilvl w:val="0"/>
                <w:numId w:val="12"/>
              </w:numPr>
              <w:tabs>
                <w:tab w:val="left" w:pos="1480"/>
              </w:tabs>
              <w:rPr>
                <w:szCs w:val="22"/>
              </w:rPr>
            </w:pPr>
            <w:r w:rsidRPr="00C40FF3">
              <w:rPr>
                <w:szCs w:val="22"/>
              </w:rPr>
              <w:t>up to two Appointed Directors appointed by the Board under</w:t>
            </w:r>
            <w:r w:rsidR="00C4331A">
              <w:rPr>
                <w:szCs w:val="22"/>
              </w:rPr>
              <w:t xml:space="preserve"> new</w:t>
            </w:r>
            <w:r w:rsidRPr="00C40FF3">
              <w:rPr>
                <w:szCs w:val="22"/>
              </w:rPr>
              <w:t xml:space="preserve"> clause 2</w:t>
            </w:r>
            <w:r w:rsidR="00C4331A">
              <w:rPr>
                <w:szCs w:val="22"/>
              </w:rPr>
              <w:t>8</w:t>
            </w:r>
            <w:r w:rsidRPr="00C40FF3">
              <w:rPr>
                <w:szCs w:val="22"/>
              </w:rPr>
              <w:t>.</w:t>
            </w:r>
          </w:p>
          <w:p w14:paraId="79CA407C" w14:textId="77777777" w:rsidR="00EC4AC2" w:rsidRDefault="00EC4AC2" w:rsidP="00EC4AC2">
            <w:pPr>
              <w:tabs>
                <w:tab w:val="left" w:pos="1480"/>
              </w:tabs>
              <w:rPr>
                <w:color w:val="000000" w:themeColor="text1"/>
                <w:szCs w:val="22"/>
              </w:rPr>
            </w:pPr>
          </w:p>
          <w:p w14:paraId="63922901" w14:textId="77777777" w:rsidR="00223190" w:rsidRDefault="00223190" w:rsidP="002231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New clause 24.2 also provides: </w:t>
            </w:r>
            <w:bookmarkStart w:id="0" w:name="_Ref224117483"/>
            <w:r w:rsidRPr="008727E1">
              <w:t>No more than four Directors on the Board may be employees (as either a permanent staff or a contractor) working for the same company or organisation.</w:t>
            </w:r>
            <w:bookmarkEnd w:id="0"/>
          </w:p>
          <w:p w14:paraId="0CD85DC6" w14:textId="77777777" w:rsidR="00223190" w:rsidRPr="00C40FF3" w:rsidRDefault="00223190" w:rsidP="00EC4AC2">
            <w:pPr>
              <w:tabs>
                <w:tab w:val="left" w:pos="1480"/>
              </w:tabs>
              <w:rPr>
                <w:color w:val="000000" w:themeColor="text1"/>
                <w:szCs w:val="22"/>
              </w:rPr>
            </w:pPr>
          </w:p>
          <w:p w14:paraId="548C2316" w14:textId="2BA2C036" w:rsidR="00EC4AC2" w:rsidRPr="00C40FF3" w:rsidRDefault="00EC4AC2" w:rsidP="00EC4AC2">
            <w:pPr>
              <w:tabs>
                <w:tab w:val="left" w:pos="1480"/>
              </w:tabs>
              <w:rPr>
                <w:color w:val="000000" w:themeColor="text1"/>
                <w:szCs w:val="22"/>
              </w:rPr>
            </w:pPr>
            <w:r w:rsidRPr="00C40FF3">
              <w:rPr>
                <w:color w:val="000000" w:themeColor="text1"/>
                <w:szCs w:val="22"/>
              </w:rPr>
              <w:t xml:space="preserve">The </w:t>
            </w:r>
            <w:r w:rsidR="00F73A3E" w:rsidRPr="00C40FF3">
              <w:rPr>
                <w:color w:val="000000" w:themeColor="text1"/>
                <w:szCs w:val="22"/>
              </w:rPr>
              <w:t>President and</w:t>
            </w:r>
            <w:r w:rsidRPr="00C40FF3">
              <w:rPr>
                <w:color w:val="000000" w:themeColor="text1"/>
                <w:szCs w:val="22"/>
              </w:rPr>
              <w:t xml:space="preserve"> Vice </w:t>
            </w:r>
            <w:r w:rsidR="00F73A3E" w:rsidRPr="00C40FF3">
              <w:rPr>
                <w:color w:val="000000" w:themeColor="text1"/>
                <w:szCs w:val="22"/>
              </w:rPr>
              <w:t>President</w:t>
            </w:r>
            <w:r w:rsidRPr="00C40FF3">
              <w:rPr>
                <w:color w:val="000000" w:themeColor="text1"/>
                <w:szCs w:val="22"/>
              </w:rPr>
              <w:t xml:space="preserve"> continue to </w:t>
            </w:r>
            <w:r w:rsidR="00C40FF3" w:rsidRPr="00C40FF3">
              <w:rPr>
                <w:color w:val="000000" w:themeColor="text1"/>
                <w:szCs w:val="22"/>
              </w:rPr>
              <w:t>exist,</w:t>
            </w:r>
            <w:r w:rsidRPr="00C40FF3">
              <w:rPr>
                <w:color w:val="000000" w:themeColor="text1"/>
                <w:szCs w:val="22"/>
              </w:rPr>
              <w:t xml:space="preserve"> but they will be appointed from amongst the Directors by the Board</w:t>
            </w:r>
            <w:r w:rsidR="00F73A3E" w:rsidRPr="00C40FF3">
              <w:rPr>
                <w:color w:val="000000" w:themeColor="text1"/>
                <w:szCs w:val="22"/>
              </w:rPr>
              <w:t xml:space="preserve"> at the first Board meeting after each AGM</w:t>
            </w:r>
            <w:r w:rsidRPr="00C40FF3">
              <w:rPr>
                <w:color w:val="000000" w:themeColor="text1"/>
                <w:szCs w:val="22"/>
              </w:rPr>
              <w:t>.</w:t>
            </w:r>
          </w:p>
          <w:p w14:paraId="4A750867" w14:textId="77777777" w:rsidR="00EC4AC2" w:rsidRPr="00C40FF3" w:rsidRDefault="00EC4AC2" w:rsidP="00EC4AC2">
            <w:pPr>
              <w:tabs>
                <w:tab w:val="left" w:pos="1480"/>
              </w:tabs>
              <w:rPr>
                <w:color w:val="000000" w:themeColor="text1"/>
                <w:szCs w:val="22"/>
              </w:rPr>
            </w:pPr>
          </w:p>
          <w:p w14:paraId="5C928FCF" w14:textId="18682D23" w:rsidR="00F73A3E" w:rsidRPr="00C40FF3" w:rsidRDefault="00EC4AC2" w:rsidP="00EC4AC2">
            <w:pPr>
              <w:tabs>
                <w:tab w:val="left" w:pos="1480"/>
              </w:tabs>
              <w:rPr>
                <w:color w:val="000000" w:themeColor="text1"/>
                <w:szCs w:val="22"/>
              </w:rPr>
            </w:pPr>
            <w:r w:rsidRPr="00C40FF3">
              <w:rPr>
                <w:color w:val="000000" w:themeColor="text1"/>
                <w:szCs w:val="22"/>
              </w:rPr>
              <w:t xml:space="preserve">The constitution no longer references the </w:t>
            </w:r>
            <w:r w:rsidR="00F73A3E" w:rsidRPr="00C40FF3">
              <w:rPr>
                <w:color w:val="000000" w:themeColor="text1"/>
                <w:szCs w:val="22"/>
              </w:rPr>
              <w:t xml:space="preserve">Treasurer, </w:t>
            </w:r>
            <w:r w:rsidRPr="00C40FF3">
              <w:rPr>
                <w:color w:val="000000" w:themeColor="text1"/>
                <w:szCs w:val="22"/>
              </w:rPr>
              <w:t>Secretary</w:t>
            </w:r>
            <w:r w:rsidR="00C40FF3">
              <w:rPr>
                <w:color w:val="000000" w:themeColor="text1"/>
                <w:szCs w:val="22"/>
              </w:rPr>
              <w:t xml:space="preserve"> or Immediate Past President</w:t>
            </w:r>
            <w:r w:rsidRPr="00C40FF3">
              <w:rPr>
                <w:color w:val="000000" w:themeColor="text1"/>
                <w:szCs w:val="22"/>
              </w:rPr>
              <w:t xml:space="preserve"> as a</w:t>
            </w:r>
            <w:r w:rsidR="00C40FF3">
              <w:rPr>
                <w:color w:val="000000" w:themeColor="text1"/>
                <w:szCs w:val="22"/>
              </w:rPr>
              <w:t xml:space="preserve"> specific Office Bearer role</w:t>
            </w:r>
            <w:r w:rsidRPr="00C40FF3">
              <w:rPr>
                <w:color w:val="000000" w:themeColor="text1"/>
                <w:szCs w:val="22"/>
              </w:rPr>
              <w:t xml:space="preserve">. </w:t>
            </w:r>
            <w:r w:rsidR="00E41518" w:rsidRPr="00C40FF3">
              <w:rPr>
                <w:color w:val="000000" w:themeColor="text1"/>
                <w:szCs w:val="22"/>
              </w:rPr>
              <w:t>There will continue to be a Company Secretary wh</w:t>
            </w:r>
            <w:r w:rsidR="008E709C">
              <w:rPr>
                <w:color w:val="000000" w:themeColor="text1"/>
                <w:szCs w:val="22"/>
              </w:rPr>
              <w:t>o will be appointed by the Board and may be but does not need to be a Director</w:t>
            </w:r>
            <w:r w:rsidR="00E41518" w:rsidRPr="00C40FF3">
              <w:rPr>
                <w:color w:val="000000" w:themeColor="text1"/>
                <w:szCs w:val="22"/>
              </w:rPr>
              <w:t>.</w:t>
            </w:r>
          </w:p>
        </w:tc>
        <w:tc>
          <w:tcPr>
            <w:tcW w:w="5125" w:type="dxa"/>
          </w:tcPr>
          <w:p w14:paraId="20020E02" w14:textId="616C7879" w:rsidR="00EC4AC2" w:rsidRDefault="00EC4AC2" w:rsidP="00EC4AC2">
            <w:pPr>
              <w:rPr>
                <w:rFonts w:cstheme="minorHAnsi"/>
              </w:rPr>
            </w:pPr>
            <w:r w:rsidRPr="00C40FF3">
              <w:rPr>
                <w:color w:val="000000" w:themeColor="text1"/>
              </w:rPr>
              <w:lastRenderedPageBreak/>
              <w:t xml:space="preserve">The Board now has the option to appoint up to </w:t>
            </w:r>
            <w:r w:rsidR="00F949FF" w:rsidRPr="00C40FF3">
              <w:rPr>
                <w:color w:val="000000" w:themeColor="text1"/>
              </w:rPr>
              <w:t>two</w:t>
            </w:r>
            <w:r w:rsidRPr="00C40FF3">
              <w:rPr>
                <w:color w:val="000000" w:themeColor="text1"/>
              </w:rPr>
              <w:t xml:space="preserve"> Appointed Directors </w:t>
            </w:r>
            <w:r w:rsidR="00F949FF" w:rsidRPr="00C40FF3">
              <w:rPr>
                <w:color w:val="000000" w:themeColor="text1"/>
              </w:rPr>
              <w:t xml:space="preserve">who may be but do not </w:t>
            </w:r>
            <w:r w:rsidR="00F949FF" w:rsidRPr="00C40FF3">
              <w:rPr>
                <w:color w:val="000000" w:themeColor="text1"/>
              </w:rPr>
              <w:lastRenderedPageBreak/>
              <w:t>need to be Members</w:t>
            </w:r>
            <w:r w:rsidRPr="00C40FF3">
              <w:rPr>
                <w:color w:val="000000" w:themeColor="text1"/>
              </w:rPr>
              <w:t>.</w:t>
            </w:r>
            <w:r w:rsidR="00C40FF3">
              <w:rPr>
                <w:color w:val="000000" w:themeColor="text1"/>
              </w:rPr>
              <w:t xml:space="preserve"> All </w:t>
            </w:r>
            <w:r w:rsidR="00C40FF3">
              <w:rPr>
                <w:rFonts w:cstheme="minorHAnsi"/>
              </w:rPr>
              <w:t>Elected Directors must be</w:t>
            </w:r>
            <w:r w:rsidR="00FF7819">
              <w:rPr>
                <w:rFonts w:cstheme="minorHAnsi"/>
              </w:rPr>
              <w:t xml:space="preserve"> financial</w:t>
            </w:r>
            <w:r w:rsidR="00C40FF3">
              <w:rPr>
                <w:rFonts w:cstheme="minorHAnsi"/>
              </w:rPr>
              <w:t xml:space="preserve"> Voting Members. </w:t>
            </w:r>
          </w:p>
          <w:p w14:paraId="0B365DA9" w14:textId="77777777" w:rsidR="00223190" w:rsidRDefault="00223190" w:rsidP="00EC4AC2">
            <w:pPr>
              <w:rPr>
                <w:color w:val="000000" w:themeColor="text1"/>
              </w:rPr>
            </w:pPr>
          </w:p>
          <w:p w14:paraId="070CE063" w14:textId="1F6BFB80" w:rsidR="00EC6553" w:rsidRDefault="00223190" w:rsidP="00EC4AC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New clause 24.2 ensures that </w:t>
            </w:r>
            <w:r w:rsidR="00EC6553">
              <w:rPr>
                <w:color w:val="000000" w:themeColor="text1"/>
              </w:rPr>
              <w:t>there is a balanced representation of organisations on the Board.</w:t>
            </w:r>
          </w:p>
          <w:p w14:paraId="59CE3DCB" w14:textId="77777777" w:rsidR="00EC6553" w:rsidRPr="00C40FF3" w:rsidRDefault="00EC6553" w:rsidP="00EC4AC2">
            <w:pPr>
              <w:rPr>
                <w:color w:val="000000" w:themeColor="text1"/>
              </w:rPr>
            </w:pPr>
          </w:p>
          <w:p w14:paraId="74A3DBDA" w14:textId="77777777" w:rsidR="00EC4AC2" w:rsidRPr="00C40FF3" w:rsidRDefault="00EC4AC2" w:rsidP="00EC4AC2">
            <w:pPr>
              <w:rPr>
                <w:color w:val="000000" w:themeColor="text1"/>
              </w:rPr>
            </w:pPr>
            <w:r w:rsidRPr="00C40FF3">
              <w:rPr>
                <w:color w:val="000000" w:themeColor="text1"/>
              </w:rPr>
              <w:t>This empowers the Board to address any skills gaps or desired knowledge/capabilities on the Board through appointments.</w:t>
            </w:r>
          </w:p>
          <w:p w14:paraId="4D363CCB" w14:textId="77777777" w:rsidR="00EC4AC2" w:rsidRPr="00C40FF3" w:rsidRDefault="00EC4AC2" w:rsidP="00EC4AC2">
            <w:pPr>
              <w:rPr>
                <w:color w:val="000000" w:themeColor="text1"/>
              </w:rPr>
            </w:pPr>
          </w:p>
          <w:p w14:paraId="576FD155" w14:textId="64986995" w:rsidR="00EC4AC2" w:rsidRPr="00C4331A" w:rsidRDefault="00EC4AC2" w:rsidP="00EC4AC2">
            <w:pPr>
              <w:rPr>
                <w:rFonts w:cs="Times New Roman"/>
                <w:color w:val="000000" w:themeColor="text1"/>
              </w:rPr>
            </w:pPr>
            <w:r w:rsidRPr="00C40FF3">
              <w:rPr>
                <w:rFonts w:cs="Times New Roman"/>
                <w:color w:val="000000" w:themeColor="text1"/>
              </w:rPr>
              <w:t xml:space="preserve">The election and appointment of Directors will be kept separate from the appointment of office bearers. The </w:t>
            </w:r>
            <w:r w:rsidR="00DB1DD7" w:rsidRPr="00C40FF3">
              <w:rPr>
                <w:rFonts w:cs="Times New Roman"/>
                <w:color w:val="000000" w:themeColor="text1"/>
              </w:rPr>
              <w:t>Directors</w:t>
            </w:r>
            <w:r w:rsidRPr="00C40FF3">
              <w:rPr>
                <w:rFonts w:cs="Times New Roman"/>
                <w:color w:val="000000" w:themeColor="text1"/>
              </w:rPr>
              <w:t xml:space="preserve"> </w:t>
            </w:r>
            <w:r w:rsidR="00DB1DD7" w:rsidRPr="00C40FF3">
              <w:rPr>
                <w:rFonts w:cs="Times New Roman"/>
                <w:color w:val="000000" w:themeColor="text1"/>
              </w:rPr>
              <w:t>will be</w:t>
            </w:r>
            <w:r w:rsidRPr="00C40FF3">
              <w:rPr>
                <w:rFonts w:cs="Times New Roman"/>
                <w:color w:val="000000" w:themeColor="text1"/>
              </w:rPr>
              <w:t xml:space="preserve"> elected/appointed</w:t>
            </w:r>
            <w:r w:rsidR="00DB1DD7" w:rsidRPr="00C40FF3">
              <w:rPr>
                <w:rFonts w:cs="Times New Roman"/>
                <w:color w:val="000000" w:themeColor="text1"/>
              </w:rPr>
              <w:t xml:space="preserve"> on to the Board</w:t>
            </w:r>
            <w:r w:rsidRPr="00C40FF3">
              <w:rPr>
                <w:rFonts w:cs="Times New Roman"/>
                <w:color w:val="000000" w:themeColor="text1"/>
              </w:rPr>
              <w:t xml:space="preserve"> and then the office bearers selected from and by the Directors in office.</w:t>
            </w:r>
          </w:p>
          <w:p w14:paraId="7DA3D3E8" w14:textId="6C87C82C" w:rsidR="00EC4AC2" w:rsidRPr="00C40FF3" w:rsidRDefault="00EC4AC2" w:rsidP="00EC4AC2">
            <w:pPr>
              <w:rPr>
                <w:color w:val="000000" w:themeColor="text1"/>
              </w:rPr>
            </w:pPr>
            <w:r w:rsidRPr="00C40FF3">
              <w:rPr>
                <w:color w:val="000000" w:themeColor="text1"/>
              </w:rPr>
              <w:t xml:space="preserve">The Board </w:t>
            </w:r>
            <w:proofErr w:type="gramStart"/>
            <w:r w:rsidRPr="00C40FF3">
              <w:rPr>
                <w:color w:val="000000" w:themeColor="text1"/>
              </w:rPr>
              <w:t>still remains</w:t>
            </w:r>
            <w:proofErr w:type="gramEnd"/>
            <w:r w:rsidRPr="00C40FF3">
              <w:rPr>
                <w:color w:val="000000" w:themeColor="text1"/>
              </w:rPr>
              <w:t xml:space="preserve"> majority democratically elected.</w:t>
            </w:r>
          </w:p>
        </w:tc>
      </w:tr>
      <w:tr w:rsidR="00EC4AC2" w:rsidRPr="005005A2" w14:paraId="00F75490" w14:textId="77777777" w:rsidTr="005005A2">
        <w:tc>
          <w:tcPr>
            <w:tcW w:w="1099" w:type="dxa"/>
          </w:tcPr>
          <w:p w14:paraId="6D39406F" w14:textId="5742ED9F" w:rsidR="00EC4AC2" w:rsidRPr="00C40FF3" w:rsidRDefault="00C40FF3" w:rsidP="00EC4AC2">
            <w:pPr>
              <w:rPr>
                <w:color w:val="000000" w:themeColor="text1"/>
              </w:rPr>
            </w:pPr>
            <w:r w:rsidRPr="00C40FF3">
              <w:rPr>
                <w:color w:val="000000" w:themeColor="text1"/>
              </w:rPr>
              <w:lastRenderedPageBreak/>
              <w:t xml:space="preserve">25, </w:t>
            </w:r>
            <w:r w:rsidR="00EC4AC2" w:rsidRPr="00C40FF3">
              <w:rPr>
                <w:color w:val="000000" w:themeColor="text1"/>
              </w:rPr>
              <w:t>2</w:t>
            </w:r>
            <w:r w:rsidR="0012464C" w:rsidRPr="00C40FF3">
              <w:rPr>
                <w:color w:val="000000" w:themeColor="text1"/>
              </w:rPr>
              <w:t>6</w:t>
            </w:r>
          </w:p>
        </w:tc>
        <w:tc>
          <w:tcPr>
            <w:tcW w:w="1768" w:type="dxa"/>
          </w:tcPr>
          <w:p w14:paraId="4869C2E8" w14:textId="4EA994F5" w:rsidR="00EC4AC2" w:rsidRPr="00C40FF3" w:rsidRDefault="00EC4AC2" w:rsidP="00EC4AC2">
            <w:pPr>
              <w:rPr>
                <w:color w:val="000000" w:themeColor="text1"/>
              </w:rPr>
            </w:pPr>
            <w:r w:rsidRPr="00C40FF3">
              <w:rPr>
                <w:color w:val="000000" w:themeColor="text1"/>
              </w:rPr>
              <w:t>Terms of Office</w:t>
            </w:r>
          </w:p>
        </w:tc>
        <w:tc>
          <w:tcPr>
            <w:tcW w:w="6325" w:type="dxa"/>
          </w:tcPr>
          <w:p w14:paraId="5D244C03" w14:textId="698034F8" w:rsidR="00EC4AC2" w:rsidRDefault="00EC4AC2" w:rsidP="00EC4AC2">
            <w:pPr>
              <w:rPr>
                <w:color w:val="000000" w:themeColor="text1"/>
              </w:rPr>
            </w:pPr>
            <w:r w:rsidRPr="00C40FF3">
              <w:rPr>
                <w:color w:val="000000" w:themeColor="text1"/>
              </w:rPr>
              <w:t xml:space="preserve">Terms have been revised from </w:t>
            </w:r>
            <w:r w:rsidR="00C40FF3">
              <w:rPr>
                <w:color w:val="000000" w:themeColor="text1"/>
              </w:rPr>
              <w:t>one</w:t>
            </w:r>
            <w:r w:rsidRPr="00C40FF3">
              <w:rPr>
                <w:color w:val="000000" w:themeColor="text1"/>
              </w:rPr>
              <w:t>-year terms to three-year terms</w:t>
            </w:r>
            <w:r w:rsidR="00C40FF3">
              <w:rPr>
                <w:color w:val="000000" w:themeColor="text1"/>
              </w:rPr>
              <w:t xml:space="preserve"> for Elected Directors</w:t>
            </w:r>
            <w:r w:rsidRPr="00C40FF3">
              <w:rPr>
                <w:color w:val="000000" w:themeColor="text1"/>
              </w:rPr>
              <w:t>.</w:t>
            </w:r>
          </w:p>
          <w:p w14:paraId="32B1F84A" w14:textId="77777777" w:rsidR="00C40FF3" w:rsidRDefault="00C40FF3" w:rsidP="00EC4AC2">
            <w:pPr>
              <w:rPr>
                <w:color w:val="000000" w:themeColor="text1"/>
              </w:rPr>
            </w:pPr>
          </w:p>
          <w:p w14:paraId="36B0DC86" w14:textId="3A08CA56" w:rsidR="00C40FF3" w:rsidRPr="00C40FF3" w:rsidRDefault="00C40FF3" w:rsidP="00EC4AC2">
            <w:pPr>
              <w:rPr>
                <w:color w:val="000000" w:themeColor="text1"/>
              </w:rPr>
            </w:pPr>
            <w:r>
              <w:t>The term of an Appointed Director will be “up to 3 years, as determined by the Board”.</w:t>
            </w:r>
          </w:p>
          <w:p w14:paraId="08D69CFD" w14:textId="77777777" w:rsidR="00EC4AC2" w:rsidRPr="00C40FF3" w:rsidRDefault="00EC4AC2" w:rsidP="00EC4AC2">
            <w:pPr>
              <w:rPr>
                <w:color w:val="000000" w:themeColor="text1"/>
              </w:rPr>
            </w:pPr>
          </w:p>
          <w:p w14:paraId="2A39CA47" w14:textId="77777777" w:rsidR="0012464C" w:rsidRPr="00C40FF3" w:rsidRDefault="00F949FF" w:rsidP="00EC4AC2">
            <w:pPr>
              <w:rPr>
                <w:color w:val="000000" w:themeColor="text1"/>
              </w:rPr>
            </w:pPr>
            <w:r w:rsidRPr="00C40FF3">
              <w:rPr>
                <w:color w:val="000000" w:themeColor="text1"/>
              </w:rPr>
              <w:t>There will be</w:t>
            </w:r>
            <w:r w:rsidR="00F73A3E" w:rsidRPr="00C40FF3">
              <w:rPr>
                <w:color w:val="000000" w:themeColor="text1"/>
              </w:rPr>
              <w:t xml:space="preserve"> staggered elections</w:t>
            </w:r>
            <w:r w:rsidR="0012464C" w:rsidRPr="00C40FF3">
              <w:rPr>
                <w:color w:val="000000" w:themeColor="text1"/>
              </w:rPr>
              <w:t>.</w:t>
            </w:r>
          </w:p>
          <w:p w14:paraId="67FAD9E3" w14:textId="77777777" w:rsidR="00924974" w:rsidRPr="00C40FF3" w:rsidRDefault="00924974" w:rsidP="00EC4AC2">
            <w:pPr>
              <w:rPr>
                <w:color w:val="000000" w:themeColor="text1"/>
              </w:rPr>
            </w:pPr>
          </w:p>
          <w:p w14:paraId="65861AB0" w14:textId="64BABA9C" w:rsidR="00924974" w:rsidRPr="00C40FF3" w:rsidRDefault="00924974" w:rsidP="00EC4AC2">
            <w:pPr>
              <w:rPr>
                <w:color w:val="000000" w:themeColor="text1"/>
              </w:rPr>
            </w:pPr>
            <w:r w:rsidRPr="00C40FF3">
              <w:rPr>
                <w:color w:val="000000" w:themeColor="text1"/>
              </w:rPr>
              <w:lastRenderedPageBreak/>
              <w:t>Casual vacancies will be filled for the remainder of the term.</w:t>
            </w:r>
          </w:p>
          <w:p w14:paraId="73E5DC3D" w14:textId="77777777" w:rsidR="0012464C" w:rsidRPr="00C40FF3" w:rsidRDefault="0012464C" w:rsidP="00EC4AC2">
            <w:pPr>
              <w:rPr>
                <w:color w:val="000000" w:themeColor="text1"/>
              </w:rPr>
            </w:pPr>
          </w:p>
          <w:p w14:paraId="312A79C4" w14:textId="7413B9D2" w:rsidR="00EC4AC2" w:rsidRPr="00C40FF3" w:rsidRDefault="00C40FF3" w:rsidP="00EC4AC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</w:t>
            </w:r>
            <w:r w:rsidR="0012464C" w:rsidRPr="00C40FF3">
              <w:rPr>
                <w:color w:val="000000" w:themeColor="text1"/>
              </w:rPr>
              <w:t xml:space="preserve"> </w:t>
            </w:r>
            <w:r w:rsidR="00F949FF" w:rsidRPr="00C40FF3">
              <w:rPr>
                <w:color w:val="000000" w:themeColor="text1"/>
              </w:rPr>
              <w:t>term limi</w:t>
            </w:r>
            <w:r w:rsidR="0012464C" w:rsidRPr="00C40FF3">
              <w:rPr>
                <w:color w:val="000000" w:themeColor="text1"/>
              </w:rPr>
              <w:t>t</w:t>
            </w:r>
            <w:r w:rsidR="00F73A3E" w:rsidRPr="00C40FF3">
              <w:rPr>
                <w:color w:val="000000" w:themeColor="text1"/>
              </w:rPr>
              <w:t xml:space="preserve"> of </w:t>
            </w:r>
            <w:r>
              <w:rPr>
                <w:color w:val="000000" w:themeColor="text1"/>
              </w:rPr>
              <w:t>nine</w:t>
            </w:r>
            <w:r w:rsidR="00F73A3E" w:rsidRPr="00C40FF3">
              <w:rPr>
                <w:color w:val="000000" w:themeColor="text1"/>
              </w:rPr>
              <w:t xml:space="preserve"> consecutive years</w:t>
            </w:r>
            <w:r w:rsidR="0012464C" w:rsidRPr="00C40FF3">
              <w:rPr>
                <w:color w:val="000000" w:themeColor="text1"/>
              </w:rPr>
              <w:t xml:space="preserve"> will be </w:t>
            </w:r>
            <w:r>
              <w:rPr>
                <w:color w:val="000000" w:themeColor="text1"/>
              </w:rPr>
              <w:t>introduced</w:t>
            </w:r>
            <w:r w:rsidR="00F949FF" w:rsidRPr="00C40FF3">
              <w:rPr>
                <w:color w:val="000000" w:themeColor="text1"/>
              </w:rPr>
              <w:t>.</w:t>
            </w:r>
          </w:p>
          <w:p w14:paraId="1C671D5E" w14:textId="40FA98F2" w:rsidR="00EC4AC2" w:rsidRPr="00C40FF3" w:rsidRDefault="00EC4AC2" w:rsidP="00EC4AC2">
            <w:pPr>
              <w:rPr>
                <w:color w:val="000000" w:themeColor="text1"/>
              </w:rPr>
            </w:pPr>
          </w:p>
        </w:tc>
        <w:tc>
          <w:tcPr>
            <w:tcW w:w="5125" w:type="dxa"/>
          </w:tcPr>
          <w:p w14:paraId="2A8783F9" w14:textId="73EF67EB" w:rsidR="00EC4AC2" w:rsidRPr="00C40FF3" w:rsidRDefault="00EC4AC2" w:rsidP="00EC4AC2">
            <w:pPr>
              <w:rPr>
                <w:color w:val="000000" w:themeColor="text1"/>
              </w:rPr>
            </w:pPr>
            <w:r w:rsidRPr="00C40FF3">
              <w:rPr>
                <w:color w:val="000000" w:themeColor="text1"/>
              </w:rPr>
              <w:lastRenderedPageBreak/>
              <w:t xml:space="preserve">A longer term of office will assist with continuity on the Board. A </w:t>
            </w:r>
            <w:r w:rsidR="00F949FF" w:rsidRPr="00C40FF3">
              <w:rPr>
                <w:color w:val="000000" w:themeColor="text1"/>
              </w:rPr>
              <w:t>three-year</w:t>
            </w:r>
            <w:r w:rsidRPr="00C40FF3">
              <w:rPr>
                <w:color w:val="000000" w:themeColor="text1"/>
              </w:rPr>
              <w:t xml:space="preserve"> term allows directors more time to grow into their role and develop deeper understanding of </w:t>
            </w:r>
            <w:r w:rsidR="00E80263" w:rsidRPr="00C40FF3">
              <w:rPr>
                <w:color w:val="000000" w:themeColor="text1"/>
              </w:rPr>
              <w:t>MAPA</w:t>
            </w:r>
            <w:r w:rsidR="00F949FF" w:rsidRPr="00C40FF3">
              <w:rPr>
                <w:color w:val="000000" w:themeColor="text1"/>
              </w:rPr>
              <w:t>’</w:t>
            </w:r>
            <w:r w:rsidRPr="00C40FF3">
              <w:rPr>
                <w:color w:val="000000" w:themeColor="text1"/>
              </w:rPr>
              <w:t xml:space="preserve"> operations and challenges. </w:t>
            </w:r>
          </w:p>
          <w:p w14:paraId="14263D79" w14:textId="77777777" w:rsidR="00924974" w:rsidRPr="00C40FF3" w:rsidRDefault="00924974" w:rsidP="00EC4AC2">
            <w:pPr>
              <w:rPr>
                <w:color w:val="000000" w:themeColor="text1"/>
              </w:rPr>
            </w:pPr>
          </w:p>
          <w:p w14:paraId="1C9E303A" w14:textId="28A8B08C" w:rsidR="00924974" w:rsidRPr="00C40FF3" w:rsidRDefault="00FF7819" w:rsidP="00EC4AC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F</w:t>
            </w:r>
            <w:r w:rsidR="00924974" w:rsidRPr="00C40FF3">
              <w:rPr>
                <w:color w:val="000000" w:themeColor="text1"/>
              </w:rPr>
              <w:t>illing casual vacancies for the remainder of the term ensures an orderly staggered rotation of Directors.</w:t>
            </w:r>
          </w:p>
          <w:p w14:paraId="18D03322" w14:textId="77777777" w:rsidR="00EC4AC2" w:rsidRPr="00C40FF3" w:rsidRDefault="00EC4AC2" w:rsidP="00EC4AC2">
            <w:pPr>
              <w:rPr>
                <w:color w:val="000000" w:themeColor="text1"/>
              </w:rPr>
            </w:pPr>
          </w:p>
          <w:p w14:paraId="5E52E329" w14:textId="77777777" w:rsidR="00EC4AC2" w:rsidRDefault="00EC4AC2" w:rsidP="00EC4AC2">
            <w:pPr>
              <w:rPr>
                <w:color w:val="000000" w:themeColor="text1"/>
              </w:rPr>
            </w:pPr>
            <w:r w:rsidRPr="00C40FF3">
              <w:rPr>
                <w:color w:val="000000" w:themeColor="text1"/>
              </w:rPr>
              <w:t>Any Directors elected after the new constitution is adopted will serve 3-year terms.</w:t>
            </w:r>
          </w:p>
          <w:p w14:paraId="6420346B" w14:textId="77777777" w:rsidR="00FF7819" w:rsidRDefault="00FF7819" w:rsidP="00EC4AC2">
            <w:pPr>
              <w:rPr>
                <w:color w:val="000000" w:themeColor="text1"/>
              </w:rPr>
            </w:pPr>
          </w:p>
          <w:p w14:paraId="4287DF83" w14:textId="77777777" w:rsidR="00FF7819" w:rsidRPr="00C40FF3" w:rsidRDefault="00FF7819" w:rsidP="00FF7819">
            <w:pPr>
              <w:rPr>
                <w:color w:val="000000" w:themeColor="text1"/>
              </w:rPr>
            </w:pPr>
            <w:r w:rsidRPr="00C40FF3">
              <w:rPr>
                <w:color w:val="000000" w:themeColor="text1"/>
              </w:rPr>
              <w:t>Per new clause 5</w:t>
            </w:r>
            <w:r>
              <w:rPr>
                <w:color w:val="000000" w:themeColor="text1"/>
              </w:rPr>
              <w:t>1</w:t>
            </w:r>
            <w:r w:rsidRPr="00C40FF3">
              <w:rPr>
                <w:color w:val="000000" w:themeColor="text1"/>
              </w:rPr>
              <w:t>.2, Directors in office at the time of registration as a CLG will remain in office until the AGM at which the Board decides they are to retire (being either the first, second or third AGM as a CLG). A Directors may serve a reduced term of e.g., one-year to facilitate the staggering.</w:t>
            </w:r>
          </w:p>
          <w:p w14:paraId="34F8D995" w14:textId="77777777" w:rsidR="00FF7819" w:rsidRDefault="00FF7819" w:rsidP="00EC4AC2">
            <w:pPr>
              <w:rPr>
                <w:color w:val="000000" w:themeColor="text1"/>
              </w:rPr>
            </w:pPr>
          </w:p>
          <w:p w14:paraId="3ADE65E2" w14:textId="285A377A" w:rsidR="00FF7819" w:rsidRPr="00C40FF3" w:rsidRDefault="00FF7819" w:rsidP="00EC4AC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Further, the counting of term limits will commence from the next set of elections under the new Constitution.</w:t>
            </w:r>
          </w:p>
        </w:tc>
      </w:tr>
      <w:tr w:rsidR="00924974" w:rsidRPr="005005A2" w14:paraId="7AE6FEBA" w14:textId="77777777" w:rsidTr="005153F5">
        <w:tc>
          <w:tcPr>
            <w:tcW w:w="1099" w:type="dxa"/>
          </w:tcPr>
          <w:p w14:paraId="6D2DD6A7" w14:textId="6658F2D8" w:rsidR="00924974" w:rsidRPr="00223190" w:rsidRDefault="00223190" w:rsidP="009249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29</w:t>
            </w:r>
          </w:p>
        </w:tc>
        <w:tc>
          <w:tcPr>
            <w:tcW w:w="1768" w:type="dxa"/>
          </w:tcPr>
          <w:p w14:paraId="1290BC55" w14:textId="6E2DA043" w:rsidR="00924974" w:rsidRPr="00223190" w:rsidRDefault="00924974" w:rsidP="00924974">
            <w:pPr>
              <w:rPr>
                <w:color w:val="000000" w:themeColor="text1"/>
              </w:rPr>
            </w:pPr>
            <w:r w:rsidRPr="00223190">
              <w:rPr>
                <w:color w:val="000000" w:themeColor="text1"/>
              </w:rPr>
              <w:t>Elections</w:t>
            </w:r>
          </w:p>
        </w:tc>
        <w:tc>
          <w:tcPr>
            <w:tcW w:w="6325" w:type="dxa"/>
          </w:tcPr>
          <w:p w14:paraId="5595BF80" w14:textId="5253E086" w:rsidR="00924974" w:rsidRPr="00223190" w:rsidRDefault="00FF7819" w:rsidP="00924974">
            <w:pPr>
              <w:rPr>
                <w:color w:val="000000" w:themeColor="text1"/>
              </w:rPr>
            </w:pPr>
            <w:r w:rsidRPr="00223190">
              <w:rPr>
                <w:color w:val="000000" w:themeColor="text1"/>
              </w:rPr>
              <w:t xml:space="preserve">Current rule </w:t>
            </w:r>
            <w:r w:rsidR="00223190" w:rsidRPr="00223190">
              <w:rPr>
                <w:color w:val="000000" w:themeColor="text1"/>
              </w:rPr>
              <w:t xml:space="preserve">15 </w:t>
            </w:r>
            <w:r w:rsidR="00924974" w:rsidRPr="00223190">
              <w:rPr>
                <w:color w:val="000000" w:themeColor="text1"/>
              </w:rPr>
              <w:t>has</w:t>
            </w:r>
            <w:r w:rsidRPr="00223190">
              <w:rPr>
                <w:color w:val="000000" w:themeColor="text1"/>
              </w:rPr>
              <w:t xml:space="preserve"> not</w:t>
            </w:r>
            <w:r w:rsidR="00924974" w:rsidRPr="00223190">
              <w:rPr>
                <w:color w:val="000000" w:themeColor="text1"/>
              </w:rPr>
              <w:t xml:space="preserve"> been carried over</w:t>
            </w:r>
            <w:r w:rsidRPr="00223190">
              <w:rPr>
                <w:color w:val="000000" w:themeColor="text1"/>
              </w:rPr>
              <w:t xml:space="preserve"> as it is too prescriptive and no longer applicable as office bearers are not elected</w:t>
            </w:r>
            <w:r w:rsidR="00924974" w:rsidRPr="00223190">
              <w:rPr>
                <w:color w:val="000000" w:themeColor="text1"/>
              </w:rPr>
              <w:t>. The details of the elections process will now be moved to the By-laws.</w:t>
            </w:r>
          </w:p>
        </w:tc>
        <w:tc>
          <w:tcPr>
            <w:tcW w:w="5125" w:type="dxa"/>
          </w:tcPr>
          <w:p w14:paraId="6CE07B4C" w14:textId="60800E0C" w:rsidR="00223190" w:rsidRPr="00223190" w:rsidRDefault="00223190" w:rsidP="00924974">
            <w:pPr>
              <w:rPr>
                <w:color w:val="000000" w:themeColor="text1"/>
              </w:rPr>
            </w:pPr>
            <w:r w:rsidRPr="00223190">
              <w:rPr>
                <w:color w:val="000000" w:themeColor="text1"/>
              </w:rPr>
              <w:t>New clause 29 is a standard elections clause.</w:t>
            </w:r>
          </w:p>
        </w:tc>
      </w:tr>
      <w:tr w:rsidR="00924974" w:rsidRPr="005005A2" w14:paraId="5DB13C81" w14:textId="77777777" w:rsidTr="005153F5">
        <w:tc>
          <w:tcPr>
            <w:tcW w:w="1099" w:type="dxa"/>
          </w:tcPr>
          <w:p w14:paraId="598842A5" w14:textId="477829CD" w:rsidR="00924974" w:rsidRPr="00223190" w:rsidRDefault="00924974" w:rsidP="00924974">
            <w:pPr>
              <w:rPr>
                <w:color w:val="000000" w:themeColor="text1"/>
              </w:rPr>
            </w:pPr>
            <w:r w:rsidRPr="00223190">
              <w:rPr>
                <w:color w:val="000000" w:themeColor="text1"/>
              </w:rPr>
              <w:t>3</w:t>
            </w:r>
            <w:r w:rsidR="00223190" w:rsidRPr="00223190">
              <w:rPr>
                <w:color w:val="000000" w:themeColor="text1"/>
              </w:rPr>
              <w:t>0</w:t>
            </w:r>
          </w:p>
        </w:tc>
        <w:tc>
          <w:tcPr>
            <w:tcW w:w="1768" w:type="dxa"/>
          </w:tcPr>
          <w:p w14:paraId="5B719E0A" w14:textId="6E39CDDB" w:rsidR="00924974" w:rsidRPr="00223190" w:rsidRDefault="00924974" w:rsidP="00924974">
            <w:pPr>
              <w:rPr>
                <w:color w:val="000000" w:themeColor="text1"/>
              </w:rPr>
            </w:pPr>
            <w:r w:rsidRPr="00223190">
              <w:rPr>
                <w:color w:val="000000" w:themeColor="text1"/>
              </w:rPr>
              <w:t>Ceasing to be a Director</w:t>
            </w:r>
          </w:p>
        </w:tc>
        <w:tc>
          <w:tcPr>
            <w:tcW w:w="6325" w:type="dxa"/>
          </w:tcPr>
          <w:p w14:paraId="30C8C744" w14:textId="7866BD47" w:rsidR="00924974" w:rsidRPr="00223190" w:rsidRDefault="00924974" w:rsidP="00924974">
            <w:pPr>
              <w:rPr>
                <w:color w:val="000000" w:themeColor="text1"/>
              </w:rPr>
            </w:pPr>
            <w:r w:rsidRPr="00223190">
              <w:rPr>
                <w:color w:val="000000" w:themeColor="text1"/>
              </w:rPr>
              <w:t>New clause 3</w:t>
            </w:r>
            <w:r w:rsidR="00223190" w:rsidRPr="00223190">
              <w:rPr>
                <w:color w:val="000000" w:themeColor="text1"/>
              </w:rPr>
              <w:t>0</w:t>
            </w:r>
            <w:r w:rsidRPr="00223190">
              <w:rPr>
                <w:color w:val="000000" w:themeColor="text1"/>
              </w:rPr>
              <w:t xml:space="preserve">.1 carries over the intent of current rule </w:t>
            </w:r>
            <w:r w:rsidR="00223190" w:rsidRPr="00223190">
              <w:rPr>
                <w:color w:val="000000" w:themeColor="text1"/>
              </w:rPr>
              <w:t>16(a</w:t>
            </w:r>
            <w:r w:rsidRPr="00223190">
              <w:rPr>
                <w:color w:val="000000" w:themeColor="text1"/>
              </w:rPr>
              <w:t xml:space="preserve">) but has been expanded to include other cessation events under the ACNC Act and </w:t>
            </w:r>
            <w:r w:rsidR="00223190" w:rsidRPr="00223190">
              <w:rPr>
                <w:color w:val="000000" w:themeColor="text1"/>
              </w:rPr>
              <w:t>chang</w:t>
            </w:r>
            <w:r w:rsidR="00EC6553">
              <w:rPr>
                <w:color w:val="000000" w:themeColor="text1"/>
              </w:rPr>
              <w:t>ing</w:t>
            </w:r>
            <w:r w:rsidR="00223190" w:rsidRPr="00223190">
              <w:rPr>
                <w:color w:val="000000" w:themeColor="text1"/>
              </w:rPr>
              <w:t xml:space="preserve"> jobs </w:t>
            </w:r>
            <w:r w:rsidR="00EC6553">
              <w:rPr>
                <w:color w:val="000000" w:themeColor="text1"/>
              </w:rPr>
              <w:t>where</w:t>
            </w:r>
            <w:r w:rsidR="00223190" w:rsidRPr="00223190">
              <w:rPr>
                <w:color w:val="000000" w:themeColor="text1"/>
              </w:rPr>
              <w:t xml:space="preserve"> this results in </w:t>
            </w:r>
            <w:r w:rsidR="00EC6553">
              <w:rPr>
                <w:color w:val="000000" w:themeColor="text1"/>
              </w:rPr>
              <w:t>“</w:t>
            </w:r>
            <w:r w:rsidR="00223190" w:rsidRPr="00223190">
              <w:rPr>
                <w:color w:val="000000" w:themeColor="text1"/>
              </w:rPr>
              <w:t>more than four Directors being employed by the same company or organisation as either a permanent staff or a contractor”.</w:t>
            </w:r>
          </w:p>
        </w:tc>
        <w:tc>
          <w:tcPr>
            <w:tcW w:w="5125" w:type="dxa"/>
          </w:tcPr>
          <w:p w14:paraId="2191492E" w14:textId="2CCFE4D3" w:rsidR="00924974" w:rsidRPr="00223190" w:rsidRDefault="00924974" w:rsidP="00924974">
            <w:pPr>
              <w:rPr>
                <w:color w:val="000000" w:themeColor="text1"/>
              </w:rPr>
            </w:pPr>
            <w:r w:rsidRPr="00223190">
              <w:rPr>
                <w:color w:val="000000" w:themeColor="text1"/>
              </w:rPr>
              <w:t>This is a standard clause in constitutions.</w:t>
            </w:r>
          </w:p>
        </w:tc>
      </w:tr>
      <w:tr w:rsidR="00924974" w:rsidRPr="005005A2" w14:paraId="4E4F5C4F" w14:textId="77777777" w:rsidTr="005153F5">
        <w:tc>
          <w:tcPr>
            <w:tcW w:w="1099" w:type="dxa"/>
          </w:tcPr>
          <w:p w14:paraId="12DE0DCB" w14:textId="5720C78F" w:rsidR="00924974" w:rsidRPr="00EC6553" w:rsidRDefault="00924974" w:rsidP="00924974">
            <w:pPr>
              <w:rPr>
                <w:color w:val="000000" w:themeColor="text1"/>
              </w:rPr>
            </w:pPr>
            <w:r w:rsidRPr="00EC6553">
              <w:rPr>
                <w:color w:val="000000" w:themeColor="text1"/>
              </w:rPr>
              <w:lastRenderedPageBreak/>
              <w:t>3</w:t>
            </w:r>
            <w:r w:rsidR="00EC6553" w:rsidRPr="00EC6553">
              <w:rPr>
                <w:color w:val="000000" w:themeColor="text1"/>
              </w:rPr>
              <w:t>1</w:t>
            </w:r>
          </w:p>
        </w:tc>
        <w:tc>
          <w:tcPr>
            <w:tcW w:w="1768" w:type="dxa"/>
          </w:tcPr>
          <w:p w14:paraId="6BC3D812" w14:textId="55D5DA35" w:rsidR="00924974" w:rsidRPr="00EC6553" w:rsidRDefault="00924974" w:rsidP="00924974">
            <w:pPr>
              <w:rPr>
                <w:color w:val="000000" w:themeColor="text1"/>
              </w:rPr>
            </w:pPr>
            <w:r w:rsidRPr="00EC6553">
              <w:rPr>
                <w:color w:val="000000" w:themeColor="text1"/>
              </w:rPr>
              <w:t>Removing a Director</w:t>
            </w:r>
          </w:p>
        </w:tc>
        <w:tc>
          <w:tcPr>
            <w:tcW w:w="6325" w:type="dxa"/>
          </w:tcPr>
          <w:p w14:paraId="534514A3" w14:textId="240C2752" w:rsidR="00924974" w:rsidRPr="00EC6553" w:rsidRDefault="00924974" w:rsidP="00924974">
            <w:pPr>
              <w:rPr>
                <w:color w:val="000000" w:themeColor="text1"/>
              </w:rPr>
            </w:pPr>
            <w:r w:rsidRPr="00EC6553">
              <w:rPr>
                <w:color w:val="000000" w:themeColor="text1"/>
              </w:rPr>
              <w:t>New clause 3</w:t>
            </w:r>
            <w:r w:rsidR="00EC6553" w:rsidRPr="00EC6553">
              <w:rPr>
                <w:color w:val="000000" w:themeColor="text1"/>
              </w:rPr>
              <w:t>1</w:t>
            </w:r>
            <w:r w:rsidRPr="00EC6553">
              <w:rPr>
                <w:color w:val="000000" w:themeColor="text1"/>
              </w:rPr>
              <w:t>.2 outlines the process of removing a Director by ordinary resolution.</w:t>
            </w:r>
          </w:p>
        </w:tc>
        <w:tc>
          <w:tcPr>
            <w:tcW w:w="5125" w:type="dxa"/>
          </w:tcPr>
          <w:p w14:paraId="1C3592D9" w14:textId="7972FAF2" w:rsidR="00EC6553" w:rsidRPr="00EC6553" w:rsidRDefault="00924974" w:rsidP="00924974">
            <w:pPr>
              <w:rPr>
                <w:color w:val="000000" w:themeColor="text1"/>
              </w:rPr>
            </w:pPr>
            <w:r w:rsidRPr="00EC6553">
              <w:rPr>
                <w:color w:val="000000" w:themeColor="text1"/>
              </w:rPr>
              <w:t>This provision aligns with the Act.</w:t>
            </w:r>
            <w:r w:rsidR="00EC6553">
              <w:rPr>
                <w:color w:val="000000" w:themeColor="text1"/>
              </w:rPr>
              <w:t xml:space="preserve"> Current rule 17(b) allowing the Executive Committee has not been carried over as Directors of a CLG are not entitled to remove other Directors.</w:t>
            </w:r>
          </w:p>
        </w:tc>
      </w:tr>
      <w:tr w:rsidR="00924974" w:rsidRPr="005005A2" w14:paraId="69C7D355" w14:textId="77777777" w:rsidTr="005153F5">
        <w:tc>
          <w:tcPr>
            <w:tcW w:w="1099" w:type="dxa"/>
          </w:tcPr>
          <w:p w14:paraId="638FBDC3" w14:textId="0C7E3FE6" w:rsidR="00924974" w:rsidRPr="00EC6553" w:rsidRDefault="00924974" w:rsidP="00924974">
            <w:pPr>
              <w:rPr>
                <w:color w:val="000000" w:themeColor="text1"/>
              </w:rPr>
            </w:pPr>
            <w:r w:rsidRPr="00EC6553">
              <w:rPr>
                <w:color w:val="000000" w:themeColor="text1"/>
              </w:rPr>
              <w:t>3</w:t>
            </w:r>
            <w:r w:rsidR="00EC6553" w:rsidRPr="00EC6553">
              <w:rPr>
                <w:color w:val="000000" w:themeColor="text1"/>
              </w:rPr>
              <w:t>3</w:t>
            </w:r>
          </w:p>
        </w:tc>
        <w:tc>
          <w:tcPr>
            <w:tcW w:w="1768" w:type="dxa"/>
          </w:tcPr>
          <w:p w14:paraId="1C6FD995" w14:textId="477F3701" w:rsidR="00924974" w:rsidRPr="00EC6553" w:rsidRDefault="00924974" w:rsidP="00924974">
            <w:pPr>
              <w:rPr>
                <w:color w:val="000000" w:themeColor="text1"/>
              </w:rPr>
            </w:pPr>
            <w:r w:rsidRPr="00EC6553">
              <w:rPr>
                <w:color w:val="000000" w:themeColor="text1"/>
              </w:rPr>
              <w:t>Office Bearers</w:t>
            </w:r>
          </w:p>
        </w:tc>
        <w:tc>
          <w:tcPr>
            <w:tcW w:w="6325" w:type="dxa"/>
          </w:tcPr>
          <w:p w14:paraId="6D647F9B" w14:textId="42CDCED5" w:rsidR="00924974" w:rsidRPr="00EC6553" w:rsidRDefault="00924974" w:rsidP="00924974">
            <w:pPr>
              <w:rPr>
                <w:color w:val="000000" w:themeColor="text1"/>
              </w:rPr>
            </w:pPr>
            <w:r w:rsidRPr="00EC6553">
              <w:rPr>
                <w:color w:val="000000" w:themeColor="text1"/>
              </w:rPr>
              <w:t xml:space="preserve">Office bearers </w:t>
            </w:r>
            <w:r w:rsidR="00EC6553">
              <w:rPr>
                <w:color w:val="000000" w:themeColor="text1"/>
              </w:rPr>
              <w:t xml:space="preserve">(President and Vice President) </w:t>
            </w:r>
            <w:r w:rsidRPr="00EC6553">
              <w:rPr>
                <w:color w:val="000000" w:themeColor="text1"/>
              </w:rPr>
              <w:t>will be appointed by the Board after the AGM.</w:t>
            </w:r>
          </w:p>
          <w:p w14:paraId="2D7C48C1" w14:textId="77777777" w:rsidR="00924974" w:rsidRPr="00EC6553" w:rsidRDefault="00924974" w:rsidP="00924974">
            <w:pPr>
              <w:rPr>
                <w:color w:val="000000" w:themeColor="text1"/>
              </w:rPr>
            </w:pPr>
          </w:p>
          <w:p w14:paraId="09FAD74A" w14:textId="1C6636CB" w:rsidR="00924974" w:rsidRPr="00EC6553" w:rsidRDefault="00924974" w:rsidP="00924974">
            <w:pPr>
              <w:rPr>
                <w:color w:val="000000" w:themeColor="text1"/>
              </w:rPr>
            </w:pPr>
            <w:r w:rsidRPr="00EC6553">
              <w:rPr>
                <w:color w:val="000000" w:themeColor="text1"/>
              </w:rPr>
              <w:t>Clauses 3</w:t>
            </w:r>
            <w:r w:rsidR="00EC6553" w:rsidRPr="00EC6553">
              <w:rPr>
                <w:color w:val="000000" w:themeColor="text1"/>
              </w:rPr>
              <w:t>3</w:t>
            </w:r>
            <w:r w:rsidRPr="00EC6553">
              <w:rPr>
                <w:color w:val="000000" w:themeColor="text1"/>
              </w:rPr>
              <w:t>.3 and 3</w:t>
            </w:r>
            <w:r w:rsidR="00EC6553" w:rsidRPr="00EC6553">
              <w:rPr>
                <w:color w:val="000000" w:themeColor="text1"/>
              </w:rPr>
              <w:t>3</w:t>
            </w:r>
            <w:r w:rsidRPr="00EC6553">
              <w:rPr>
                <w:color w:val="000000" w:themeColor="text1"/>
              </w:rPr>
              <w:t>.4 provide more clarity regarding the term of an office-bearer.</w:t>
            </w:r>
          </w:p>
        </w:tc>
        <w:tc>
          <w:tcPr>
            <w:tcW w:w="5125" w:type="dxa"/>
          </w:tcPr>
          <w:p w14:paraId="67B1C38B" w14:textId="0AE7DA03" w:rsidR="00924974" w:rsidRPr="00EC6553" w:rsidRDefault="00924974" w:rsidP="00924974">
            <w:pPr>
              <w:rPr>
                <w:color w:val="000000" w:themeColor="text1"/>
              </w:rPr>
            </w:pPr>
            <w:r w:rsidRPr="00EC6553">
              <w:rPr>
                <w:color w:val="000000" w:themeColor="text1"/>
              </w:rPr>
              <w:t>This is in line with contemporary governance practices.</w:t>
            </w:r>
          </w:p>
          <w:p w14:paraId="7721E129" w14:textId="2D210B0D" w:rsidR="00924974" w:rsidRPr="00EC6553" w:rsidRDefault="00924974" w:rsidP="00924974">
            <w:pPr>
              <w:rPr>
                <w:color w:val="000000" w:themeColor="text1"/>
              </w:rPr>
            </w:pPr>
          </w:p>
        </w:tc>
      </w:tr>
      <w:tr w:rsidR="00924974" w:rsidRPr="005005A2" w14:paraId="4C4B03B3" w14:textId="77777777" w:rsidTr="005153F5">
        <w:tc>
          <w:tcPr>
            <w:tcW w:w="1099" w:type="dxa"/>
          </w:tcPr>
          <w:p w14:paraId="5A8FE0B5" w14:textId="2DD477CA" w:rsidR="00924974" w:rsidRPr="00EC6553" w:rsidRDefault="00924974" w:rsidP="00924974">
            <w:pPr>
              <w:rPr>
                <w:color w:val="000000" w:themeColor="text1"/>
              </w:rPr>
            </w:pPr>
            <w:r w:rsidRPr="00EC6553">
              <w:rPr>
                <w:color w:val="000000" w:themeColor="text1"/>
              </w:rPr>
              <w:t>3</w:t>
            </w:r>
            <w:r w:rsidR="00EC6553" w:rsidRPr="00EC6553">
              <w:rPr>
                <w:color w:val="000000" w:themeColor="text1"/>
              </w:rPr>
              <w:t>4</w:t>
            </w:r>
            <w:r w:rsidRPr="00EC6553">
              <w:rPr>
                <w:color w:val="000000" w:themeColor="text1"/>
              </w:rPr>
              <w:t>-4</w:t>
            </w:r>
            <w:r w:rsidR="00EC6553">
              <w:rPr>
                <w:color w:val="000000" w:themeColor="text1"/>
              </w:rPr>
              <w:t>2</w:t>
            </w:r>
          </w:p>
        </w:tc>
        <w:tc>
          <w:tcPr>
            <w:tcW w:w="1768" w:type="dxa"/>
          </w:tcPr>
          <w:p w14:paraId="5CAC6282" w14:textId="5F8FA097" w:rsidR="00924974" w:rsidRPr="00EC6553" w:rsidRDefault="00924974" w:rsidP="00924974">
            <w:pPr>
              <w:rPr>
                <w:color w:val="000000" w:themeColor="text1"/>
              </w:rPr>
            </w:pPr>
            <w:r w:rsidRPr="00EC6553">
              <w:rPr>
                <w:color w:val="000000" w:themeColor="text1"/>
              </w:rPr>
              <w:t>Other Board Matters</w:t>
            </w:r>
          </w:p>
        </w:tc>
        <w:tc>
          <w:tcPr>
            <w:tcW w:w="6325" w:type="dxa"/>
          </w:tcPr>
          <w:p w14:paraId="43EA3B70" w14:textId="164C495C" w:rsidR="00924974" w:rsidRPr="00EC6553" w:rsidRDefault="00924974" w:rsidP="00924974">
            <w:pPr>
              <w:rPr>
                <w:color w:val="000000" w:themeColor="text1"/>
              </w:rPr>
            </w:pPr>
            <w:r w:rsidRPr="00EC6553">
              <w:rPr>
                <w:color w:val="000000" w:themeColor="text1"/>
              </w:rPr>
              <w:t>Clauses 3</w:t>
            </w:r>
            <w:r w:rsidR="00EC6553" w:rsidRPr="00EC6553">
              <w:rPr>
                <w:color w:val="000000" w:themeColor="text1"/>
              </w:rPr>
              <w:t>4</w:t>
            </w:r>
            <w:r w:rsidRPr="00EC6553">
              <w:rPr>
                <w:color w:val="000000" w:themeColor="text1"/>
              </w:rPr>
              <w:t xml:space="preserve"> and 3</w:t>
            </w:r>
            <w:r w:rsidR="00EC6553" w:rsidRPr="00EC6553">
              <w:rPr>
                <w:color w:val="000000" w:themeColor="text1"/>
              </w:rPr>
              <w:t>5</w:t>
            </w:r>
            <w:r w:rsidRPr="00EC6553">
              <w:rPr>
                <w:color w:val="000000" w:themeColor="text1"/>
              </w:rPr>
              <w:t xml:space="preserve"> confirm the powers of the Board. Clause 3</w:t>
            </w:r>
            <w:r w:rsidR="00EC6553" w:rsidRPr="00EC6553">
              <w:rPr>
                <w:color w:val="000000" w:themeColor="text1"/>
              </w:rPr>
              <w:t>6</w:t>
            </w:r>
            <w:r w:rsidRPr="00EC6553">
              <w:rPr>
                <w:color w:val="000000" w:themeColor="text1"/>
              </w:rPr>
              <w:t xml:space="preserve"> confirms the duties of Directors, including under the ACNC.</w:t>
            </w:r>
          </w:p>
          <w:p w14:paraId="787D6FC2" w14:textId="3E2E9A19" w:rsidR="00110A86" w:rsidRPr="00EC6553" w:rsidRDefault="00110A86" w:rsidP="00924974">
            <w:pPr>
              <w:rPr>
                <w:color w:val="000000" w:themeColor="text1"/>
              </w:rPr>
            </w:pPr>
          </w:p>
          <w:p w14:paraId="715498D9" w14:textId="75349897" w:rsidR="00924974" w:rsidRPr="00EC6553" w:rsidRDefault="00924974" w:rsidP="00924974">
            <w:pPr>
              <w:rPr>
                <w:color w:val="000000" w:themeColor="text1"/>
              </w:rPr>
            </w:pPr>
            <w:r w:rsidRPr="00EC6553">
              <w:rPr>
                <w:color w:val="000000" w:themeColor="text1"/>
              </w:rPr>
              <w:t xml:space="preserve">Directors will be entitled reimbursement (current rule </w:t>
            </w:r>
            <w:r w:rsidR="00EC6553" w:rsidRPr="00EC6553">
              <w:rPr>
                <w:color w:val="000000" w:themeColor="text1"/>
              </w:rPr>
              <w:t>19(g</w:t>
            </w:r>
            <w:r w:rsidRPr="00EC6553">
              <w:rPr>
                <w:color w:val="000000" w:themeColor="text1"/>
              </w:rPr>
              <w:t>), new clause 3</w:t>
            </w:r>
            <w:r w:rsidR="00EC6553" w:rsidRPr="00EC6553">
              <w:rPr>
                <w:color w:val="000000" w:themeColor="text1"/>
              </w:rPr>
              <w:t>7</w:t>
            </w:r>
            <w:r w:rsidRPr="00EC6553">
              <w:rPr>
                <w:color w:val="000000" w:themeColor="text1"/>
              </w:rPr>
              <w:t>).</w:t>
            </w:r>
          </w:p>
          <w:p w14:paraId="627C6B92" w14:textId="77777777" w:rsidR="00110A86" w:rsidRPr="00EC6553" w:rsidRDefault="00110A86" w:rsidP="00924974">
            <w:pPr>
              <w:rPr>
                <w:color w:val="000000" w:themeColor="text1"/>
              </w:rPr>
            </w:pPr>
          </w:p>
          <w:p w14:paraId="11FF151E" w14:textId="76462027" w:rsidR="00924974" w:rsidRPr="00EC6553" w:rsidRDefault="00924974" w:rsidP="00924974">
            <w:pPr>
              <w:rPr>
                <w:color w:val="000000" w:themeColor="text1"/>
              </w:rPr>
            </w:pPr>
            <w:r w:rsidRPr="00EC6553">
              <w:rPr>
                <w:color w:val="000000" w:themeColor="text1"/>
              </w:rPr>
              <w:t xml:space="preserve">Provisions have been added to allow for observers at Board meetings (new clause </w:t>
            </w:r>
            <w:r w:rsidR="00EC6553" w:rsidRPr="00EC6553">
              <w:rPr>
                <w:color w:val="000000" w:themeColor="text1"/>
              </w:rPr>
              <w:t>38</w:t>
            </w:r>
            <w:r w:rsidRPr="00EC6553">
              <w:rPr>
                <w:color w:val="000000" w:themeColor="text1"/>
              </w:rPr>
              <w:t>.10)</w:t>
            </w:r>
          </w:p>
          <w:p w14:paraId="4A4F2E76" w14:textId="77777777" w:rsidR="00924974" w:rsidRPr="00EC6553" w:rsidRDefault="00924974" w:rsidP="00924974">
            <w:pPr>
              <w:rPr>
                <w:color w:val="000000" w:themeColor="text1"/>
              </w:rPr>
            </w:pPr>
          </w:p>
          <w:p w14:paraId="64C82FA0" w14:textId="69DA7DDE" w:rsidR="00924974" w:rsidRPr="00EC6553" w:rsidRDefault="00924974" w:rsidP="00924974">
            <w:pPr>
              <w:rPr>
                <w:color w:val="000000" w:themeColor="text1"/>
              </w:rPr>
            </w:pPr>
            <w:r w:rsidRPr="00EC6553">
              <w:rPr>
                <w:color w:val="000000" w:themeColor="text1"/>
              </w:rPr>
              <w:t xml:space="preserve">Timing for notice of a Board meeting has been clarified in new clause </w:t>
            </w:r>
            <w:r w:rsidR="00EC6553" w:rsidRPr="00EC6553">
              <w:rPr>
                <w:color w:val="000000" w:themeColor="text1"/>
              </w:rPr>
              <w:t>39</w:t>
            </w:r>
            <w:r w:rsidRPr="00EC6553">
              <w:rPr>
                <w:color w:val="000000" w:themeColor="text1"/>
              </w:rPr>
              <w:t xml:space="preserve">. </w:t>
            </w:r>
          </w:p>
          <w:p w14:paraId="35CB8A61" w14:textId="77777777" w:rsidR="00924974" w:rsidRPr="00EC6553" w:rsidRDefault="00924974" w:rsidP="00924974">
            <w:pPr>
              <w:rPr>
                <w:color w:val="000000" w:themeColor="text1"/>
              </w:rPr>
            </w:pPr>
          </w:p>
          <w:p w14:paraId="3316B690" w14:textId="727B1158" w:rsidR="00924974" w:rsidRPr="00EC6553" w:rsidRDefault="00924974" w:rsidP="00924974">
            <w:pPr>
              <w:rPr>
                <w:color w:val="000000" w:themeColor="text1"/>
              </w:rPr>
            </w:pPr>
            <w:r w:rsidRPr="00EC6553">
              <w:rPr>
                <w:color w:val="000000" w:themeColor="text1"/>
              </w:rPr>
              <w:t xml:space="preserve">The quorum for a Board meeting will change from 5 Directors (current rule </w:t>
            </w:r>
            <w:r w:rsidR="00EC6553" w:rsidRPr="00EC6553">
              <w:rPr>
                <w:color w:val="000000" w:themeColor="text1"/>
              </w:rPr>
              <w:t>18(e</w:t>
            </w:r>
            <w:r w:rsidRPr="00EC6553">
              <w:rPr>
                <w:color w:val="000000" w:themeColor="text1"/>
              </w:rPr>
              <w:t xml:space="preserve">)) to </w:t>
            </w:r>
            <w:proofErr w:type="gramStart"/>
            <w:r w:rsidRPr="00EC6553">
              <w:rPr>
                <w:color w:val="000000" w:themeColor="text1"/>
              </w:rPr>
              <w:t>a majority of</w:t>
            </w:r>
            <w:proofErr w:type="gramEnd"/>
            <w:r w:rsidRPr="00EC6553">
              <w:rPr>
                <w:color w:val="000000" w:themeColor="text1"/>
              </w:rPr>
              <w:t xml:space="preserve"> Directors in office (new clause </w:t>
            </w:r>
            <w:r w:rsidR="00EC6553" w:rsidRPr="00EC6553">
              <w:rPr>
                <w:color w:val="000000" w:themeColor="text1"/>
              </w:rPr>
              <w:t>40</w:t>
            </w:r>
            <w:r w:rsidRPr="00EC6553">
              <w:rPr>
                <w:color w:val="000000" w:themeColor="text1"/>
              </w:rPr>
              <w:t>.2).</w:t>
            </w:r>
          </w:p>
          <w:p w14:paraId="55B8F187" w14:textId="77777777" w:rsidR="00924974" w:rsidRPr="00EC6553" w:rsidRDefault="00924974" w:rsidP="00924974">
            <w:pPr>
              <w:rPr>
                <w:color w:val="000000" w:themeColor="text1"/>
              </w:rPr>
            </w:pPr>
          </w:p>
          <w:p w14:paraId="28045CB9" w14:textId="77777777" w:rsidR="00924974" w:rsidRPr="00EC6553" w:rsidRDefault="00924974" w:rsidP="00924974">
            <w:pPr>
              <w:rPr>
                <w:color w:val="000000" w:themeColor="text1"/>
              </w:rPr>
            </w:pPr>
            <w:r w:rsidRPr="00EC6553">
              <w:rPr>
                <w:color w:val="000000" w:themeColor="text1"/>
              </w:rPr>
              <w:t xml:space="preserve">Provisions have been </w:t>
            </w:r>
            <w:r w:rsidR="00813171" w:rsidRPr="00EC6553">
              <w:rPr>
                <w:color w:val="000000" w:themeColor="text1"/>
              </w:rPr>
              <w:t>added</w:t>
            </w:r>
            <w:r w:rsidRPr="00EC6553">
              <w:rPr>
                <w:color w:val="000000" w:themeColor="text1"/>
              </w:rPr>
              <w:t xml:space="preserve"> to allow the Board to pass written resolutions by majority of Directors (new clause 4</w:t>
            </w:r>
            <w:r w:rsidR="00EC6553" w:rsidRPr="00EC6553">
              <w:rPr>
                <w:color w:val="000000" w:themeColor="text1"/>
              </w:rPr>
              <w:t>1</w:t>
            </w:r>
            <w:r w:rsidRPr="00EC6553">
              <w:rPr>
                <w:color w:val="000000" w:themeColor="text1"/>
              </w:rPr>
              <w:t>.</w:t>
            </w:r>
            <w:r w:rsidR="00813171" w:rsidRPr="00EC6553">
              <w:rPr>
                <w:color w:val="000000" w:themeColor="text1"/>
              </w:rPr>
              <w:t>1</w:t>
            </w:r>
            <w:r w:rsidRPr="00EC6553">
              <w:rPr>
                <w:color w:val="000000" w:themeColor="text1"/>
              </w:rPr>
              <w:t>)</w:t>
            </w:r>
            <w:r w:rsidR="00813171" w:rsidRPr="00EC6553">
              <w:rPr>
                <w:color w:val="000000" w:themeColor="text1"/>
              </w:rPr>
              <w:t>.</w:t>
            </w:r>
          </w:p>
          <w:p w14:paraId="44D10E39" w14:textId="77777777" w:rsidR="00EC6553" w:rsidRPr="00EC6553" w:rsidRDefault="00EC6553" w:rsidP="00924974">
            <w:pPr>
              <w:rPr>
                <w:color w:val="000000" w:themeColor="text1"/>
              </w:rPr>
            </w:pPr>
          </w:p>
          <w:p w14:paraId="5C4BFE80" w14:textId="49424899" w:rsidR="00EC6553" w:rsidRPr="00EC6553" w:rsidRDefault="00EC6553" w:rsidP="00924974">
            <w:pPr>
              <w:rPr>
                <w:color w:val="000000" w:themeColor="text1"/>
              </w:rPr>
            </w:pPr>
            <w:r w:rsidRPr="00EC6553">
              <w:rPr>
                <w:color w:val="000000" w:themeColor="text1"/>
              </w:rPr>
              <w:lastRenderedPageBreak/>
              <w:t xml:space="preserve">Provisions will no longer specify the number of times the Board must meet. </w:t>
            </w:r>
          </w:p>
        </w:tc>
        <w:tc>
          <w:tcPr>
            <w:tcW w:w="5125" w:type="dxa"/>
          </w:tcPr>
          <w:p w14:paraId="4BF14C99" w14:textId="3C6F9615" w:rsidR="00521368" w:rsidRPr="00521368" w:rsidRDefault="00924974" w:rsidP="00521368">
            <w:pPr>
              <w:rPr>
                <w:color w:val="000000" w:themeColor="text1"/>
              </w:rPr>
            </w:pPr>
            <w:r w:rsidRPr="00521368">
              <w:rPr>
                <w:color w:val="000000" w:themeColor="text1"/>
              </w:rPr>
              <w:lastRenderedPageBreak/>
              <w:t>These are standard provisions in CLG constitutions.</w:t>
            </w:r>
          </w:p>
          <w:p w14:paraId="6A6F5634" w14:textId="7CA72B17" w:rsidR="00110A86" w:rsidRPr="00521368" w:rsidRDefault="00110A86" w:rsidP="00924974">
            <w:pPr>
              <w:rPr>
                <w:color w:val="000000" w:themeColor="text1"/>
              </w:rPr>
            </w:pPr>
          </w:p>
        </w:tc>
      </w:tr>
      <w:tr w:rsidR="00EC6553" w:rsidRPr="005005A2" w14:paraId="70F9022C" w14:textId="77777777" w:rsidTr="005153F5">
        <w:tc>
          <w:tcPr>
            <w:tcW w:w="1099" w:type="dxa"/>
          </w:tcPr>
          <w:p w14:paraId="7E7CB71F" w14:textId="5F26CAFB" w:rsidR="00EC6553" w:rsidRPr="00EC6553" w:rsidRDefault="00EC6553" w:rsidP="00EC655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44</w:t>
            </w:r>
          </w:p>
        </w:tc>
        <w:tc>
          <w:tcPr>
            <w:tcW w:w="1768" w:type="dxa"/>
          </w:tcPr>
          <w:p w14:paraId="118A09B0" w14:textId="5A0987AD" w:rsidR="00EC6553" w:rsidRPr="00EC6553" w:rsidRDefault="00EC6553" w:rsidP="00EC655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Minutes</w:t>
            </w:r>
          </w:p>
        </w:tc>
        <w:tc>
          <w:tcPr>
            <w:tcW w:w="6325" w:type="dxa"/>
          </w:tcPr>
          <w:p w14:paraId="77A26E4A" w14:textId="47C4B882" w:rsidR="00EC6553" w:rsidRPr="00EC6553" w:rsidRDefault="00EC6553" w:rsidP="00EC655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Provisions confirm the minutes that the Association is required to keep and confirm that </w:t>
            </w:r>
            <w:bookmarkStart w:id="1" w:name="_Ref224118108"/>
            <w:r>
              <w:rPr>
                <w:color w:val="000000" w:themeColor="text1"/>
              </w:rPr>
              <w:t>“</w:t>
            </w:r>
            <w:r>
              <w:t>Members have a right to request minutes of General Meetings, including any financial reports presented at the General Meeting</w:t>
            </w:r>
            <w:bookmarkEnd w:id="1"/>
            <w:r>
              <w:t>” (new clause 44.4).</w:t>
            </w:r>
          </w:p>
        </w:tc>
        <w:tc>
          <w:tcPr>
            <w:tcW w:w="5125" w:type="dxa"/>
          </w:tcPr>
          <w:p w14:paraId="2D6E066B" w14:textId="3E1F975E" w:rsidR="00EC6553" w:rsidRPr="00EC6553" w:rsidRDefault="00EC6553" w:rsidP="00EC6553">
            <w:pPr>
              <w:rPr>
                <w:color w:val="000000" w:themeColor="text1"/>
              </w:rPr>
            </w:pPr>
            <w:r w:rsidRPr="00EC6553">
              <w:rPr>
                <w:color w:val="000000" w:themeColor="text1"/>
              </w:rPr>
              <w:t>This is in line with requirements of the Act and contemporary standards.</w:t>
            </w:r>
          </w:p>
        </w:tc>
      </w:tr>
      <w:tr w:rsidR="00EC6553" w:rsidRPr="005005A2" w14:paraId="0B0EEDFB" w14:textId="77777777" w:rsidTr="005153F5">
        <w:tc>
          <w:tcPr>
            <w:tcW w:w="1099" w:type="dxa"/>
          </w:tcPr>
          <w:p w14:paraId="1DA334C7" w14:textId="5BCA9208" w:rsidR="00EC6553" w:rsidRPr="00EC6553" w:rsidRDefault="00EC6553" w:rsidP="00EC6553">
            <w:pPr>
              <w:rPr>
                <w:color w:val="000000" w:themeColor="text1"/>
              </w:rPr>
            </w:pPr>
            <w:r w:rsidRPr="00EC6553">
              <w:rPr>
                <w:color w:val="000000" w:themeColor="text1"/>
              </w:rPr>
              <w:t>4</w:t>
            </w:r>
            <w:r>
              <w:rPr>
                <w:color w:val="000000" w:themeColor="text1"/>
              </w:rPr>
              <w:t>5</w:t>
            </w:r>
          </w:p>
        </w:tc>
        <w:tc>
          <w:tcPr>
            <w:tcW w:w="1768" w:type="dxa"/>
          </w:tcPr>
          <w:p w14:paraId="192C6D4B" w14:textId="7CD2D4FC" w:rsidR="00EC6553" w:rsidRPr="00EC6553" w:rsidRDefault="00EC6553" w:rsidP="00EC6553">
            <w:pPr>
              <w:rPr>
                <w:color w:val="000000" w:themeColor="text1"/>
              </w:rPr>
            </w:pPr>
            <w:r w:rsidRPr="00EC6553">
              <w:rPr>
                <w:color w:val="000000" w:themeColor="text1"/>
              </w:rPr>
              <w:t>Notices</w:t>
            </w:r>
          </w:p>
        </w:tc>
        <w:tc>
          <w:tcPr>
            <w:tcW w:w="6325" w:type="dxa"/>
          </w:tcPr>
          <w:p w14:paraId="58699629" w14:textId="38DDB2B4" w:rsidR="00EC6553" w:rsidRPr="00EC6553" w:rsidRDefault="00EC6553" w:rsidP="00EC6553">
            <w:pPr>
              <w:rPr>
                <w:color w:val="000000" w:themeColor="text1"/>
              </w:rPr>
            </w:pPr>
            <w:r w:rsidRPr="00EC6553">
              <w:rPr>
                <w:color w:val="000000" w:themeColor="text1"/>
              </w:rPr>
              <w:t>Provisions simplify the methods and timing for notices and allow for publication of notices on the MAPA website/portal.</w:t>
            </w:r>
          </w:p>
        </w:tc>
        <w:tc>
          <w:tcPr>
            <w:tcW w:w="5125" w:type="dxa"/>
          </w:tcPr>
          <w:p w14:paraId="65B27A69" w14:textId="7E7F753C" w:rsidR="00EC6553" w:rsidRPr="00EC6553" w:rsidRDefault="00EC6553" w:rsidP="00EC6553">
            <w:pPr>
              <w:rPr>
                <w:color w:val="000000" w:themeColor="text1"/>
              </w:rPr>
            </w:pPr>
            <w:r w:rsidRPr="00EC6553">
              <w:rPr>
                <w:color w:val="000000" w:themeColor="text1"/>
              </w:rPr>
              <w:t>This is in line with requirements of the Act and contemporary standards.</w:t>
            </w:r>
          </w:p>
        </w:tc>
      </w:tr>
      <w:tr w:rsidR="00C4331A" w:rsidRPr="005005A2" w14:paraId="1F8B0F3B" w14:textId="77777777" w:rsidTr="005153F5">
        <w:tc>
          <w:tcPr>
            <w:tcW w:w="1099" w:type="dxa"/>
          </w:tcPr>
          <w:p w14:paraId="58C0AF00" w14:textId="13F076C3" w:rsidR="00C4331A" w:rsidRPr="00EC6553" w:rsidRDefault="00C4331A" w:rsidP="00C433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49</w:t>
            </w:r>
          </w:p>
        </w:tc>
        <w:tc>
          <w:tcPr>
            <w:tcW w:w="1768" w:type="dxa"/>
          </w:tcPr>
          <w:p w14:paraId="7306711B" w14:textId="742C5FD3" w:rsidR="00C4331A" w:rsidRPr="00EC6553" w:rsidRDefault="00C4331A" w:rsidP="00C433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Amending Constitution</w:t>
            </w:r>
          </w:p>
        </w:tc>
        <w:tc>
          <w:tcPr>
            <w:tcW w:w="6325" w:type="dxa"/>
          </w:tcPr>
          <w:p w14:paraId="592E1E68" w14:textId="20B1CD3B" w:rsidR="00C4331A" w:rsidRPr="00EC6553" w:rsidRDefault="00C4331A" w:rsidP="00C433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Current rule 30 is too prescriptive and will be replaced with clause 49.1.</w:t>
            </w:r>
          </w:p>
        </w:tc>
        <w:tc>
          <w:tcPr>
            <w:tcW w:w="5125" w:type="dxa"/>
          </w:tcPr>
          <w:p w14:paraId="59515086" w14:textId="323A459C" w:rsidR="00C4331A" w:rsidRPr="00EC6553" w:rsidRDefault="00C4331A" w:rsidP="00C4331A">
            <w:pPr>
              <w:rPr>
                <w:color w:val="000000" w:themeColor="text1"/>
              </w:rPr>
            </w:pPr>
            <w:r w:rsidRPr="00EC6553">
              <w:rPr>
                <w:color w:val="000000" w:themeColor="text1"/>
              </w:rPr>
              <w:t>This is in line with requirements of the Act.</w:t>
            </w:r>
          </w:p>
        </w:tc>
      </w:tr>
      <w:tr w:rsidR="00C4331A" w:rsidRPr="005005A2" w14:paraId="789A04C1" w14:textId="77777777" w:rsidTr="005153F5">
        <w:tc>
          <w:tcPr>
            <w:tcW w:w="1099" w:type="dxa"/>
          </w:tcPr>
          <w:p w14:paraId="3B25ABC6" w14:textId="7827619B" w:rsidR="00C4331A" w:rsidRPr="00EC6553" w:rsidRDefault="00C4331A" w:rsidP="00C4331A">
            <w:pPr>
              <w:rPr>
                <w:color w:val="000000" w:themeColor="text1"/>
              </w:rPr>
            </w:pPr>
            <w:r w:rsidRPr="00EC6553">
              <w:rPr>
                <w:color w:val="000000" w:themeColor="text1"/>
              </w:rPr>
              <w:t>50</w:t>
            </w:r>
          </w:p>
        </w:tc>
        <w:tc>
          <w:tcPr>
            <w:tcW w:w="1768" w:type="dxa"/>
          </w:tcPr>
          <w:p w14:paraId="2F3BA24C" w14:textId="50C3D21E" w:rsidR="00C4331A" w:rsidRPr="00EC6553" w:rsidRDefault="00C4331A" w:rsidP="00C4331A">
            <w:pPr>
              <w:rPr>
                <w:color w:val="000000" w:themeColor="text1"/>
              </w:rPr>
            </w:pPr>
            <w:r w:rsidRPr="00EC6553">
              <w:rPr>
                <w:color w:val="000000" w:themeColor="text1"/>
              </w:rPr>
              <w:t>Winding Up</w:t>
            </w:r>
          </w:p>
        </w:tc>
        <w:tc>
          <w:tcPr>
            <w:tcW w:w="6325" w:type="dxa"/>
          </w:tcPr>
          <w:p w14:paraId="1DCE0F82" w14:textId="5CFEBED9" w:rsidR="00C4331A" w:rsidRPr="00EC6553" w:rsidRDefault="00C4331A" w:rsidP="00C4331A">
            <w:pPr>
              <w:rPr>
                <w:color w:val="000000" w:themeColor="text1"/>
              </w:rPr>
            </w:pPr>
            <w:r w:rsidRPr="00EC6553">
              <w:rPr>
                <w:color w:val="000000" w:themeColor="text1"/>
              </w:rPr>
              <w:t>Provisions have been updated to align with the requirements of a CLG with charity status.</w:t>
            </w:r>
          </w:p>
        </w:tc>
        <w:tc>
          <w:tcPr>
            <w:tcW w:w="5125" w:type="dxa"/>
          </w:tcPr>
          <w:p w14:paraId="0535B629" w14:textId="099A2F05" w:rsidR="00C4331A" w:rsidRPr="00EC6553" w:rsidRDefault="00C4331A" w:rsidP="00C4331A">
            <w:pPr>
              <w:rPr>
                <w:color w:val="000000" w:themeColor="text1"/>
              </w:rPr>
            </w:pPr>
            <w:r w:rsidRPr="00EC6553">
              <w:rPr>
                <w:color w:val="000000" w:themeColor="text1"/>
              </w:rPr>
              <w:t>This is in line with requirements of the Act.</w:t>
            </w:r>
          </w:p>
        </w:tc>
      </w:tr>
      <w:tr w:rsidR="00C4331A" w:rsidRPr="005005A2" w14:paraId="2B9CEB69" w14:textId="77777777" w:rsidTr="005153F5">
        <w:tc>
          <w:tcPr>
            <w:tcW w:w="1099" w:type="dxa"/>
          </w:tcPr>
          <w:p w14:paraId="3BB27DE7" w14:textId="10F2B43C" w:rsidR="00C4331A" w:rsidRPr="00EC6553" w:rsidRDefault="00C4331A" w:rsidP="00C4331A">
            <w:pPr>
              <w:rPr>
                <w:color w:val="000000" w:themeColor="text1"/>
              </w:rPr>
            </w:pPr>
            <w:r w:rsidRPr="00EC6553">
              <w:rPr>
                <w:color w:val="000000" w:themeColor="text1"/>
              </w:rPr>
              <w:t>5</w:t>
            </w:r>
            <w:r>
              <w:rPr>
                <w:color w:val="000000" w:themeColor="text1"/>
              </w:rPr>
              <w:t>1</w:t>
            </w:r>
          </w:p>
        </w:tc>
        <w:tc>
          <w:tcPr>
            <w:tcW w:w="1768" w:type="dxa"/>
          </w:tcPr>
          <w:p w14:paraId="4994DF42" w14:textId="1D63B05F" w:rsidR="00C4331A" w:rsidRPr="00EC6553" w:rsidRDefault="00C4331A" w:rsidP="00C4331A">
            <w:pPr>
              <w:rPr>
                <w:color w:val="000000" w:themeColor="text1"/>
              </w:rPr>
            </w:pPr>
            <w:r w:rsidRPr="00EC6553">
              <w:rPr>
                <w:color w:val="000000" w:themeColor="text1"/>
              </w:rPr>
              <w:t>Transitional Arrangements</w:t>
            </w:r>
          </w:p>
        </w:tc>
        <w:tc>
          <w:tcPr>
            <w:tcW w:w="6325" w:type="dxa"/>
          </w:tcPr>
          <w:p w14:paraId="1471E84F" w14:textId="77777777" w:rsidR="00C4331A" w:rsidRPr="00EC6553" w:rsidRDefault="00C4331A" w:rsidP="00C4331A">
            <w:pPr>
              <w:rPr>
                <w:rFonts w:cs="Arial"/>
                <w:color w:val="000000" w:themeColor="text1"/>
              </w:rPr>
            </w:pPr>
            <w:r w:rsidRPr="00EC6553">
              <w:rPr>
                <w:rFonts w:cs="Arial"/>
                <w:color w:val="000000" w:themeColor="text1"/>
              </w:rPr>
              <w:t>These clauses outline how the current membership structure and board structure will transition to the new structures under the new constitution.</w:t>
            </w:r>
          </w:p>
          <w:p w14:paraId="6BE91945" w14:textId="77777777" w:rsidR="00C4331A" w:rsidRPr="00EC6553" w:rsidRDefault="00C4331A" w:rsidP="00C4331A">
            <w:pPr>
              <w:rPr>
                <w:rFonts w:cs="Arial"/>
                <w:color w:val="000000" w:themeColor="text1"/>
              </w:rPr>
            </w:pPr>
          </w:p>
          <w:p w14:paraId="6F45C6BB" w14:textId="745B8878" w:rsidR="00C4331A" w:rsidRPr="00EC6553" w:rsidRDefault="00C4331A" w:rsidP="00C4331A">
            <w:pPr>
              <w:rPr>
                <w:rFonts w:cs="Arial"/>
                <w:color w:val="000000" w:themeColor="text1"/>
              </w:rPr>
            </w:pPr>
            <w:r w:rsidRPr="00EC6553">
              <w:rPr>
                <w:rFonts w:cs="Arial"/>
                <w:color w:val="000000" w:themeColor="text1"/>
              </w:rPr>
              <w:t>To allow for a transition to a staggered election cycle, current and incoming Directors may serve either one-, two- or three-year terms as noted in clause 5</w:t>
            </w:r>
            <w:r>
              <w:rPr>
                <w:rFonts w:cs="Arial"/>
                <w:color w:val="000000" w:themeColor="text1"/>
              </w:rPr>
              <w:t>1</w:t>
            </w:r>
            <w:r w:rsidRPr="00EC6553">
              <w:rPr>
                <w:rFonts w:cs="Arial"/>
                <w:color w:val="000000" w:themeColor="text1"/>
              </w:rPr>
              <w:t>.2.</w:t>
            </w:r>
          </w:p>
        </w:tc>
        <w:tc>
          <w:tcPr>
            <w:tcW w:w="5125" w:type="dxa"/>
          </w:tcPr>
          <w:p w14:paraId="62E5F961" w14:textId="3E8A36A8" w:rsidR="00C4331A" w:rsidRPr="00EC6553" w:rsidRDefault="00C4331A" w:rsidP="00C4331A">
            <w:pPr>
              <w:rPr>
                <w:color w:val="000000" w:themeColor="text1"/>
              </w:rPr>
            </w:pPr>
            <w:r w:rsidRPr="00EC6553">
              <w:rPr>
                <w:rFonts w:cs="Arial"/>
                <w:color w:val="000000" w:themeColor="text1"/>
                <w:lang w:val="en-GB"/>
              </w:rPr>
              <w:t>Transitional arrangements are required to provide certainty to the Board and members regarding the transition from the current membership and board structure to the new structures.</w:t>
            </w:r>
          </w:p>
        </w:tc>
      </w:tr>
      <w:tr w:rsidR="00C4331A" w:rsidRPr="005005A2" w14:paraId="2B421485" w14:textId="77777777" w:rsidTr="005153F5">
        <w:tc>
          <w:tcPr>
            <w:tcW w:w="1099" w:type="dxa"/>
          </w:tcPr>
          <w:p w14:paraId="2F70E85D" w14:textId="2119F9BA" w:rsidR="00C4331A" w:rsidRPr="00FD6FFA" w:rsidRDefault="00C4331A" w:rsidP="00C4331A">
            <w:pPr>
              <w:rPr>
                <w:color w:val="000000" w:themeColor="text1"/>
              </w:rPr>
            </w:pPr>
            <w:r w:rsidRPr="00FD6FFA">
              <w:rPr>
                <w:color w:val="000000" w:themeColor="text1"/>
              </w:rPr>
              <w:t>n/a</w:t>
            </w:r>
          </w:p>
        </w:tc>
        <w:tc>
          <w:tcPr>
            <w:tcW w:w="1768" w:type="dxa"/>
          </w:tcPr>
          <w:p w14:paraId="198F0C02" w14:textId="7C8E0C04" w:rsidR="00C4331A" w:rsidRPr="00FD6FFA" w:rsidRDefault="00C4331A" w:rsidP="00C4331A">
            <w:pPr>
              <w:rPr>
                <w:color w:val="000000" w:themeColor="text1"/>
              </w:rPr>
            </w:pPr>
            <w:r w:rsidRPr="00FD6FFA">
              <w:rPr>
                <w:color w:val="000000" w:themeColor="text1"/>
              </w:rPr>
              <w:t>Other Matters</w:t>
            </w:r>
          </w:p>
        </w:tc>
        <w:tc>
          <w:tcPr>
            <w:tcW w:w="6325" w:type="dxa"/>
          </w:tcPr>
          <w:p w14:paraId="48DAA7AE" w14:textId="62EEDBF5" w:rsidR="00C4331A" w:rsidRDefault="00C4331A" w:rsidP="00C4331A">
            <w:pPr>
              <w:rPr>
                <w:rFonts w:cs="Arial"/>
                <w:color w:val="000000" w:themeColor="text1"/>
              </w:rPr>
            </w:pPr>
            <w:r w:rsidRPr="00FD6FFA">
              <w:rPr>
                <w:rFonts w:cs="Arial"/>
                <w:color w:val="000000" w:themeColor="text1"/>
              </w:rPr>
              <w:t>Provisions regarding Dispute Resolution ha</w:t>
            </w:r>
            <w:r w:rsidR="00B03C19">
              <w:rPr>
                <w:rFonts w:cs="Arial"/>
                <w:color w:val="000000" w:themeColor="text1"/>
              </w:rPr>
              <w:t>ve</w:t>
            </w:r>
            <w:r w:rsidRPr="00FD6FFA">
              <w:rPr>
                <w:rFonts w:cs="Arial"/>
                <w:color w:val="000000" w:themeColor="text1"/>
              </w:rPr>
              <w:t xml:space="preserve"> not been carried over.</w:t>
            </w:r>
          </w:p>
          <w:p w14:paraId="36CE0792" w14:textId="77777777" w:rsidR="00C4331A" w:rsidRDefault="00C4331A" w:rsidP="00C4331A">
            <w:pPr>
              <w:rPr>
                <w:rFonts w:cs="Arial"/>
                <w:color w:val="000000" w:themeColor="text1"/>
              </w:rPr>
            </w:pPr>
          </w:p>
          <w:p w14:paraId="7665A7CD" w14:textId="349FA3AA" w:rsidR="00C4331A" w:rsidRPr="00FD6FFA" w:rsidRDefault="00C4331A" w:rsidP="00C4331A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Provisions regarding </w:t>
            </w:r>
            <w:r w:rsidR="00B12ED1">
              <w:rPr>
                <w:rFonts w:cs="Arial"/>
                <w:color w:val="000000" w:themeColor="text1"/>
              </w:rPr>
              <w:t>“</w:t>
            </w:r>
            <w:r>
              <w:rPr>
                <w:rFonts w:cs="Arial"/>
                <w:color w:val="000000" w:themeColor="text1"/>
              </w:rPr>
              <w:t>Funds</w:t>
            </w:r>
            <w:r w:rsidR="00B12ED1">
              <w:rPr>
                <w:rFonts w:cs="Arial"/>
                <w:color w:val="000000" w:themeColor="text1"/>
              </w:rPr>
              <w:t>”</w:t>
            </w:r>
            <w:r>
              <w:rPr>
                <w:rFonts w:cs="Arial"/>
                <w:color w:val="000000" w:themeColor="text1"/>
              </w:rPr>
              <w:t xml:space="preserve"> will be replaced by the “Accounts and Audit” clause.</w:t>
            </w:r>
          </w:p>
          <w:p w14:paraId="075FA970" w14:textId="77777777" w:rsidR="00C4331A" w:rsidRPr="00FD6FFA" w:rsidRDefault="00C4331A" w:rsidP="00C4331A">
            <w:pPr>
              <w:rPr>
                <w:rFonts w:cs="Arial"/>
                <w:color w:val="000000" w:themeColor="text1"/>
                <w:lang w:val="en-GB"/>
              </w:rPr>
            </w:pPr>
          </w:p>
          <w:p w14:paraId="1FCC6280" w14:textId="13AE3C56" w:rsidR="00C4331A" w:rsidRPr="00FD6FFA" w:rsidRDefault="00C4331A" w:rsidP="00C4331A">
            <w:pPr>
              <w:rPr>
                <w:rFonts w:cs="Arial"/>
                <w:color w:val="000000" w:themeColor="text1"/>
              </w:rPr>
            </w:pPr>
            <w:r w:rsidRPr="00FD6FFA">
              <w:rPr>
                <w:rFonts w:cs="Arial"/>
                <w:color w:val="000000" w:themeColor="text1"/>
                <w:lang w:val="en-GB"/>
              </w:rPr>
              <w:t xml:space="preserve">There have been minor terminology changes. For instance, the ‘Executive Committee’ as a collective </w:t>
            </w:r>
            <w:r w:rsidR="00974212">
              <w:rPr>
                <w:rFonts w:cs="Arial"/>
                <w:color w:val="000000" w:themeColor="text1"/>
                <w:lang w:val="en-GB"/>
              </w:rPr>
              <w:t>is</w:t>
            </w:r>
            <w:r w:rsidRPr="00FD6FFA">
              <w:rPr>
                <w:rFonts w:cs="Arial"/>
                <w:color w:val="000000" w:themeColor="text1"/>
                <w:lang w:val="en-GB"/>
              </w:rPr>
              <w:t xml:space="preserve"> now </w:t>
            </w:r>
            <w:r w:rsidR="00974212">
              <w:rPr>
                <w:rFonts w:cs="Arial"/>
                <w:color w:val="000000" w:themeColor="text1"/>
                <w:lang w:val="en-GB"/>
              </w:rPr>
              <w:t xml:space="preserve">called </w:t>
            </w:r>
            <w:r w:rsidRPr="00FD6FFA">
              <w:rPr>
                <w:rFonts w:cs="Arial"/>
                <w:color w:val="000000" w:themeColor="text1"/>
                <w:lang w:val="en-GB"/>
              </w:rPr>
              <w:t>the ‘Board’.</w:t>
            </w:r>
          </w:p>
        </w:tc>
        <w:tc>
          <w:tcPr>
            <w:tcW w:w="5125" w:type="dxa"/>
          </w:tcPr>
          <w:p w14:paraId="7EEB7DB2" w14:textId="0D8EAEB5" w:rsidR="00C4331A" w:rsidRPr="00FD6FFA" w:rsidRDefault="00C4331A" w:rsidP="00C4331A">
            <w:pPr>
              <w:rPr>
                <w:rFonts w:cs="Arial"/>
                <w:color w:val="000000" w:themeColor="text1"/>
                <w:lang w:val="en-GB"/>
              </w:rPr>
            </w:pPr>
            <w:r w:rsidRPr="00FD6FFA">
              <w:rPr>
                <w:rFonts w:cs="Arial"/>
                <w:color w:val="000000" w:themeColor="text1"/>
                <w:lang w:val="en-GB"/>
              </w:rPr>
              <w:t>Dispute resolution may be addressed outside of the constitution, for example, in the By-laws.</w:t>
            </w:r>
          </w:p>
        </w:tc>
      </w:tr>
    </w:tbl>
    <w:p w14:paraId="6CC5A9A1" w14:textId="77777777" w:rsidR="00C007A5" w:rsidRPr="005005A2" w:rsidRDefault="00C007A5" w:rsidP="00974212">
      <w:pPr>
        <w:rPr>
          <w:color w:val="EE0000"/>
        </w:rPr>
      </w:pPr>
    </w:p>
    <w:sectPr w:rsidR="00C007A5" w:rsidRPr="005005A2" w:rsidSect="002C19B1">
      <w:footerReference w:type="even" r:id="rId11"/>
      <w:footerReference w:type="default" r:id="rId12"/>
      <w:footerReference w:type="first" r:id="rId13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FDE7B" w14:textId="77777777" w:rsidR="005F0241" w:rsidRDefault="005F0241" w:rsidP="002F55FE">
      <w:r>
        <w:separator/>
      </w:r>
    </w:p>
  </w:endnote>
  <w:endnote w:type="continuationSeparator" w:id="0">
    <w:p w14:paraId="23F55E5E" w14:textId="77777777" w:rsidR="005F0241" w:rsidRDefault="005F0241" w:rsidP="002F5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05249066"/>
      <w:docPartObj>
        <w:docPartGallery w:val="Page Numbers (Bottom of Page)"/>
        <w:docPartUnique/>
      </w:docPartObj>
    </w:sdtPr>
    <w:sdtContent>
      <w:p w14:paraId="1CADB788" w14:textId="2DB5F6BF" w:rsidR="002F55FE" w:rsidRDefault="002F55FE" w:rsidP="00814FB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49759442" w14:textId="77777777" w:rsidR="002F55FE" w:rsidRDefault="002F55FE" w:rsidP="002F55F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89682298"/>
      <w:docPartObj>
        <w:docPartGallery w:val="Page Numbers (Bottom of Page)"/>
        <w:docPartUnique/>
      </w:docPartObj>
    </w:sdtPr>
    <w:sdtContent>
      <w:p w14:paraId="3CA1F186" w14:textId="49B00E3E" w:rsidR="002F55FE" w:rsidRDefault="002F55FE" w:rsidP="00814FB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3C98C380" w14:textId="04EB7106" w:rsidR="002F55FE" w:rsidRPr="002F55FE" w:rsidRDefault="00E80263" w:rsidP="002F55FE">
    <w:pPr>
      <w:pStyle w:val="Footer"/>
    </w:pPr>
    <w:r>
      <w:t>MAPA</w:t>
    </w:r>
    <w:r w:rsidR="002F55FE">
      <w:t xml:space="preserve"> – Summary of Key Constitutional Changes Table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EF90C" w14:textId="6FA868A3" w:rsidR="005005A2" w:rsidRDefault="00E80263">
    <w:pPr>
      <w:pStyle w:val="Footer"/>
    </w:pPr>
    <w:r>
      <w:t>MAPA</w:t>
    </w:r>
    <w:r w:rsidR="005005A2">
      <w:t xml:space="preserve"> – Summary of Key Constitutional Changes Table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95D53" w14:textId="77777777" w:rsidR="005F0241" w:rsidRDefault="005F0241" w:rsidP="002F55FE">
      <w:r>
        <w:separator/>
      </w:r>
    </w:p>
  </w:footnote>
  <w:footnote w:type="continuationSeparator" w:id="0">
    <w:p w14:paraId="0B62C862" w14:textId="77777777" w:rsidR="005F0241" w:rsidRDefault="005F0241" w:rsidP="002F55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70F4"/>
    <w:multiLevelType w:val="hybridMultilevel"/>
    <w:tmpl w:val="313E9C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F4AA4"/>
    <w:multiLevelType w:val="hybridMultilevel"/>
    <w:tmpl w:val="95FA2D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1421E3"/>
    <w:multiLevelType w:val="hybridMultilevel"/>
    <w:tmpl w:val="C67E445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B1297"/>
    <w:multiLevelType w:val="hybridMultilevel"/>
    <w:tmpl w:val="BECAFD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351834"/>
    <w:multiLevelType w:val="hybridMultilevel"/>
    <w:tmpl w:val="7758E7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F33F3"/>
    <w:multiLevelType w:val="hybridMultilevel"/>
    <w:tmpl w:val="A2CAB6B2"/>
    <w:lvl w:ilvl="0" w:tplc="4D1481B6">
      <w:start w:val="1"/>
      <w:numFmt w:val="lowerLetter"/>
      <w:lvlText w:val="(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95B8E"/>
    <w:multiLevelType w:val="hybridMultilevel"/>
    <w:tmpl w:val="1E0AED1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4B22A4"/>
    <w:multiLevelType w:val="hybridMultilevel"/>
    <w:tmpl w:val="4314E8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649EF"/>
    <w:multiLevelType w:val="hybridMultilevel"/>
    <w:tmpl w:val="1F5E9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F55CEB"/>
    <w:multiLevelType w:val="hybridMultilevel"/>
    <w:tmpl w:val="CDEA27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FF0CA2"/>
    <w:multiLevelType w:val="hybridMultilevel"/>
    <w:tmpl w:val="41826DA4"/>
    <w:lvl w:ilvl="0" w:tplc="A08CC86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8A1E77"/>
    <w:multiLevelType w:val="hybridMultilevel"/>
    <w:tmpl w:val="C0AE8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7043AF"/>
    <w:multiLevelType w:val="hybridMultilevel"/>
    <w:tmpl w:val="774E7B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011B7F"/>
    <w:multiLevelType w:val="hybridMultilevel"/>
    <w:tmpl w:val="F29842D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326598"/>
    <w:multiLevelType w:val="hybridMultilevel"/>
    <w:tmpl w:val="A9FCBB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F0716C"/>
    <w:multiLevelType w:val="hybridMultilevel"/>
    <w:tmpl w:val="1C66E6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DE758A"/>
    <w:multiLevelType w:val="hybridMultilevel"/>
    <w:tmpl w:val="08108F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8085662"/>
    <w:multiLevelType w:val="hybridMultilevel"/>
    <w:tmpl w:val="6D887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245DD6"/>
    <w:multiLevelType w:val="hybridMultilevel"/>
    <w:tmpl w:val="5A54A3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4D3638"/>
    <w:multiLevelType w:val="hybridMultilevel"/>
    <w:tmpl w:val="A2820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11706">
    <w:abstractNumId w:val="18"/>
  </w:num>
  <w:num w:numId="2" w16cid:durableId="149296914">
    <w:abstractNumId w:val="10"/>
  </w:num>
  <w:num w:numId="3" w16cid:durableId="97066151">
    <w:abstractNumId w:val="2"/>
  </w:num>
  <w:num w:numId="4" w16cid:durableId="2113279958">
    <w:abstractNumId w:val="8"/>
  </w:num>
  <w:num w:numId="5" w16cid:durableId="735709044">
    <w:abstractNumId w:val="3"/>
  </w:num>
  <w:num w:numId="6" w16cid:durableId="2074543343">
    <w:abstractNumId w:val="16"/>
  </w:num>
  <w:num w:numId="7" w16cid:durableId="564027185">
    <w:abstractNumId w:val="4"/>
  </w:num>
  <w:num w:numId="8" w16cid:durableId="1905338447">
    <w:abstractNumId w:val="6"/>
  </w:num>
  <w:num w:numId="9" w16cid:durableId="1975258322">
    <w:abstractNumId w:val="13"/>
  </w:num>
  <w:num w:numId="10" w16cid:durableId="1077896708">
    <w:abstractNumId w:val="17"/>
  </w:num>
  <w:num w:numId="11" w16cid:durableId="209265033">
    <w:abstractNumId w:val="14"/>
  </w:num>
  <w:num w:numId="12" w16cid:durableId="476455671">
    <w:abstractNumId w:val="5"/>
  </w:num>
  <w:num w:numId="13" w16cid:durableId="1237132643">
    <w:abstractNumId w:val="19"/>
  </w:num>
  <w:num w:numId="14" w16cid:durableId="1745447061">
    <w:abstractNumId w:val="1"/>
  </w:num>
  <w:num w:numId="15" w16cid:durableId="1165435913">
    <w:abstractNumId w:val="7"/>
  </w:num>
  <w:num w:numId="16" w16cid:durableId="1506096719">
    <w:abstractNumId w:val="12"/>
  </w:num>
  <w:num w:numId="17" w16cid:durableId="1350985187">
    <w:abstractNumId w:val="0"/>
  </w:num>
  <w:num w:numId="18" w16cid:durableId="1640110923">
    <w:abstractNumId w:val="11"/>
  </w:num>
  <w:num w:numId="19" w16cid:durableId="1742757084">
    <w:abstractNumId w:val="9"/>
  </w:num>
  <w:num w:numId="20" w16cid:durableId="6530275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73C"/>
    <w:rsid w:val="000302E0"/>
    <w:rsid w:val="00031304"/>
    <w:rsid w:val="000314CD"/>
    <w:rsid w:val="00035E83"/>
    <w:rsid w:val="00035FAB"/>
    <w:rsid w:val="00042CE8"/>
    <w:rsid w:val="00056B40"/>
    <w:rsid w:val="00060B0C"/>
    <w:rsid w:val="000628B3"/>
    <w:rsid w:val="000634D0"/>
    <w:rsid w:val="0008073D"/>
    <w:rsid w:val="000A4A7A"/>
    <w:rsid w:val="000C1D8D"/>
    <w:rsid w:val="000E3691"/>
    <w:rsid w:val="000F0A95"/>
    <w:rsid w:val="000F7640"/>
    <w:rsid w:val="0010760D"/>
    <w:rsid w:val="00110A86"/>
    <w:rsid w:val="00113586"/>
    <w:rsid w:val="0012464C"/>
    <w:rsid w:val="00127A2C"/>
    <w:rsid w:val="00134C3D"/>
    <w:rsid w:val="001460E3"/>
    <w:rsid w:val="001529F8"/>
    <w:rsid w:val="001752E9"/>
    <w:rsid w:val="001926B9"/>
    <w:rsid w:val="001974C7"/>
    <w:rsid w:val="001A1B6F"/>
    <w:rsid w:val="001D1857"/>
    <w:rsid w:val="001F4363"/>
    <w:rsid w:val="00201696"/>
    <w:rsid w:val="00210518"/>
    <w:rsid w:val="002126D8"/>
    <w:rsid w:val="00223190"/>
    <w:rsid w:val="00227236"/>
    <w:rsid w:val="0023003F"/>
    <w:rsid w:val="00246ADF"/>
    <w:rsid w:val="0024710A"/>
    <w:rsid w:val="00251D4F"/>
    <w:rsid w:val="002653F4"/>
    <w:rsid w:val="00275317"/>
    <w:rsid w:val="002828D5"/>
    <w:rsid w:val="002B124D"/>
    <w:rsid w:val="002C184B"/>
    <w:rsid w:val="002C19B1"/>
    <w:rsid w:val="002C296A"/>
    <w:rsid w:val="002E35B6"/>
    <w:rsid w:val="002E725B"/>
    <w:rsid w:val="002F55FE"/>
    <w:rsid w:val="003010D4"/>
    <w:rsid w:val="00305033"/>
    <w:rsid w:val="003103EF"/>
    <w:rsid w:val="003302DE"/>
    <w:rsid w:val="00330CD8"/>
    <w:rsid w:val="00331359"/>
    <w:rsid w:val="0033730C"/>
    <w:rsid w:val="00343B89"/>
    <w:rsid w:val="003522F3"/>
    <w:rsid w:val="003640AB"/>
    <w:rsid w:val="003705C9"/>
    <w:rsid w:val="00376D0A"/>
    <w:rsid w:val="00394640"/>
    <w:rsid w:val="003B3173"/>
    <w:rsid w:val="00400387"/>
    <w:rsid w:val="0040667B"/>
    <w:rsid w:val="004353B2"/>
    <w:rsid w:val="00441C0F"/>
    <w:rsid w:val="00461A0F"/>
    <w:rsid w:val="0046577C"/>
    <w:rsid w:val="00471CA7"/>
    <w:rsid w:val="00475B7E"/>
    <w:rsid w:val="00483232"/>
    <w:rsid w:val="004906B7"/>
    <w:rsid w:val="00491E67"/>
    <w:rsid w:val="00492319"/>
    <w:rsid w:val="004A5708"/>
    <w:rsid w:val="004B7638"/>
    <w:rsid w:val="004C1A30"/>
    <w:rsid w:val="004D245C"/>
    <w:rsid w:val="004D505A"/>
    <w:rsid w:val="005005A2"/>
    <w:rsid w:val="005153F5"/>
    <w:rsid w:val="00515B44"/>
    <w:rsid w:val="00521368"/>
    <w:rsid w:val="00526EC9"/>
    <w:rsid w:val="005324F8"/>
    <w:rsid w:val="00534CA4"/>
    <w:rsid w:val="00560D26"/>
    <w:rsid w:val="00577025"/>
    <w:rsid w:val="00597F3A"/>
    <w:rsid w:val="005A145C"/>
    <w:rsid w:val="005A1A43"/>
    <w:rsid w:val="005B6C24"/>
    <w:rsid w:val="005D6A83"/>
    <w:rsid w:val="005E1A2B"/>
    <w:rsid w:val="005E32C2"/>
    <w:rsid w:val="005F0241"/>
    <w:rsid w:val="00634444"/>
    <w:rsid w:val="00646ED0"/>
    <w:rsid w:val="00667461"/>
    <w:rsid w:val="006712B4"/>
    <w:rsid w:val="0068443D"/>
    <w:rsid w:val="006934E2"/>
    <w:rsid w:val="006A085F"/>
    <w:rsid w:val="006A2F36"/>
    <w:rsid w:val="006C4E8E"/>
    <w:rsid w:val="006C7D87"/>
    <w:rsid w:val="006D3CF0"/>
    <w:rsid w:val="006D7AC5"/>
    <w:rsid w:val="006E1D6B"/>
    <w:rsid w:val="006E6800"/>
    <w:rsid w:val="006E6881"/>
    <w:rsid w:val="006E6927"/>
    <w:rsid w:val="00731E9C"/>
    <w:rsid w:val="007619D7"/>
    <w:rsid w:val="00795304"/>
    <w:rsid w:val="00795E81"/>
    <w:rsid w:val="007B1202"/>
    <w:rsid w:val="007B28AA"/>
    <w:rsid w:val="007C698E"/>
    <w:rsid w:val="007C7245"/>
    <w:rsid w:val="007C76C9"/>
    <w:rsid w:val="007D1E3E"/>
    <w:rsid w:val="007D5C98"/>
    <w:rsid w:val="007F7442"/>
    <w:rsid w:val="00813171"/>
    <w:rsid w:val="00830151"/>
    <w:rsid w:val="008425F4"/>
    <w:rsid w:val="00844129"/>
    <w:rsid w:val="0084773C"/>
    <w:rsid w:val="00853908"/>
    <w:rsid w:val="00854C54"/>
    <w:rsid w:val="00855AF7"/>
    <w:rsid w:val="008567EE"/>
    <w:rsid w:val="00857010"/>
    <w:rsid w:val="00857A21"/>
    <w:rsid w:val="008633DF"/>
    <w:rsid w:val="00865D58"/>
    <w:rsid w:val="00874459"/>
    <w:rsid w:val="008836A9"/>
    <w:rsid w:val="008874AC"/>
    <w:rsid w:val="008A118F"/>
    <w:rsid w:val="008A1288"/>
    <w:rsid w:val="008A638D"/>
    <w:rsid w:val="008A7C63"/>
    <w:rsid w:val="008B344D"/>
    <w:rsid w:val="008E709C"/>
    <w:rsid w:val="008E7F76"/>
    <w:rsid w:val="0090107A"/>
    <w:rsid w:val="00913300"/>
    <w:rsid w:val="009211E5"/>
    <w:rsid w:val="00924974"/>
    <w:rsid w:val="00926E83"/>
    <w:rsid w:val="0092714D"/>
    <w:rsid w:val="00932500"/>
    <w:rsid w:val="009532E6"/>
    <w:rsid w:val="00954CD6"/>
    <w:rsid w:val="00957578"/>
    <w:rsid w:val="00966B8C"/>
    <w:rsid w:val="00967652"/>
    <w:rsid w:val="00974212"/>
    <w:rsid w:val="0098003B"/>
    <w:rsid w:val="009A2D23"/>
    <w:rsid w:val="009A7703"/>
    <w:rsid w:val="009B1E73"/>
    <w:rsid w:val="009B5A06"/>
    <w:rsid w:val="009B6C6D"/>
    <w:rsid w:val="009C6931"/>
    <w:rsid w:val="009D01AC"/>
    <w:rsid w:val="009D43D5"/>
    <w:rsid w:val="009D4FF6"/>
    <w:rsid w:val="009E00F0"/>
    <w:rsid w:val="009E24ED"/>
    <w:rsid w:val="00A044E5"/>
    <w:rsid w:val="00A072EC"/>
    <w:rsid w:val="00A216DD"/>
    <w:rsid w:val="00A300F3"/>
    <w:rsid w:val="00A302F0"/>
    <w:rsid w:val="00A5701C"/>
    <w:rsid w:val="00A60539"/>
    <w:rsid w:val="00A62235"/>
    <w:rsid w:val="00AA43EE"/>
    <w:rsid w:val="00AA468E"/>
    <w:rsid w:val="00AA7CD6"/>
    <w:rsid w:val="00AB03F4"/>
    <w:rsid w:val="00AB1C2A"/>
    <w:rsid w:val="00AC693E"/>
    <w:rsid w:val="00AD226B"/>
    <w:rsid w:val="00AD35B8"/>
    <w:rsid w:val="00AF1246"/>
    <w:rsid w:val="00B00858"/>
    <w:rsid w:val="00B03379"/>
    <w:rsid w:val="00B03C19"/>
    <w:rsid w:val="00B1027B"/>
    <w:rsid w:val="00B12ED1"/>
    <w:rsid w:val="00B13E0F"/>
    <w:rsid w:val="00B436D8"/>
    <w:rsid w:val="00B44409"/>
    <w:rsid w:val="00B57B49"/>
    <w:rsid w:val="00B75D4B"/>
    <w:rsid w:val="00BB2D36"/>
    <w:rsid w:val="00BB2E22"/>
    <w:rsid w:val="00BC21D7"/>
    <w:rsid w:val="00BC7BE8"/>
    <w:rsid w:val="00BF114B"/>
    <w:rsid w:val="00C007A5"/>
    <w:rsid w:val="00C24323"/>
    <w:rsid w:val="00C320C7"/>
    <w:rsid w:val="00C40FF3"/>
    <w:rsid w:val="00C4331A"/>
    <w:rsid w:val="00C5260F"/>
    <w:rsid w:val="00C64CFF"/>
    <w:rsid w:val="00C668BA"/>
    <w:rsid w:val="00C870A5"/>
    <w:rsid w:val="00C975FE"/>
    <w:rsid w:val="00CB5E7D"/>
    <w:rsid w:val="00CC0F83"/>
    <w:rsid w:val="00CC6B62"/>
    <w:rsid w:val="00CD4928"/>
    <w:rsid w:val="00CE14D3"/>
    <w:rsid w:val="00CE60CC"/>
    <w:rsid w:val="00CE7060"/>
    <w:rsid w:val="00CF04BA"/>
    <w:rsid w:val="00CF609D"/>
    <w:rsid w:val="00D069FA"/>
    <w:rsid w:val="00D32078"/>
    <w:rsid w:val="00D42BAD"/>
    <w:rsid w:val="00D50789"/>
    <w:rsid w:val="00D67D0D"/>
    <w:rsid w:val="00D72FC9"/>
    <w:rsid w:val="00D90085"/>
    <w:rsid w:val="00D96B27"/>
    <w:rsid w:val="00DB1DD7"/>
    <w:rsid w:val="00DC59CD"/>
    <w:rsid w:val="00DE2693"/>
    <w:rsid w:val="00DF2E52"/>
    <w:rsid w:val="00E05DC5"/>
    <w:rsid w:val="00E1223A"/>
    <w:rsid w:val="00E1577E"/>
    <w:rsid w:val="00E41518"/>
    <w:rsid w:val="00E51715"/>
    <w:rsid w:val="00E64A66"/>
    <w:rsid w:val="00E6798A"/>
    <w:rsid w:val="00E705CC"/>
    <w:rsid w:val="00E7237E"/>
    <w:rsid w:val="00E72A31"/>
    <w:rsid w:val="00E80263"/>
    <w:rsid w:val="00E967A0"/>
    <w:rsid w:val="00EB015F"/>
    <w:rsid w:val="00EC4AC2"/>
    <w:rsid w:val="00EC6553"/>
    <w:rsid w:val="00F1490F"/>
    <w:rsid w:val="00F262F5"/>
    <w:rsid w:val="00F73A3E"/>
    <w:rsid w:val="00F91E2E"/>
    <w:rsid w:val="00F949FF"/>
    <w:rsid w:val="00FB77A3"/>
    <w:rsid w:val="00FD6FFA"/>
    <w:rsid w:val="00FE5498"/>
    <w:rsid w:val="00FF3DDF"/>
    <w:rsid w:val="00FF4811"/>
    <w:rsid w:val="00FF73E6"/>
    <w:rsid w:val="00FF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761A4B"/>
  <w15:chartTrackingRefBased/>
  <w15:docId w15:val="{5C7AEFE9-9405-8849-A923-6DADAF689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71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714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table" w:styleId="TableGrid">
    <w:name w:val="Table Grid"/>
    <w:basedOn w:val="TableNormal"/>
    <w:uiPriority w:val="39"/>
    <w:rsid w:val="009271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2714D"/>
    <w:pPr>
      <w:numPr>
        <w:numId w:val="2"/>
      </w:numPr>
      <w:contextualSpacing/>
    </w:pPr>
    <w:rPr>
      <w:rFonts w:eastAsiaTheme="minorEastAsia" w:cstheme="minorHAnsi"/>
      <w:color w:val="000000" w:themeColor="text1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271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04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04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04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04B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F55F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55FE"/>
  </w:style>
  <w:style w:type="paragraph" w:styleId="Footer">
    <w:name w:val="footer"/>
    <w:basedOn w:val="Normal"/>
    <w:link w:val="FooterChar"/>
    <w:uiPriority w:val="99"/>
    <w:unhideWhenUsed/>
    <w:rsid w:val="002F55F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55FE"/>
  </w:style>
  <w:style w:type="character" w:styleId="PageNumber">
    <w:name w:val="page number"/>
    <w:basedOn w:val="DefaultParagraphFont"/>
    <w:uiPriority w:val="99"/>
    <w:semiHidden/>
    <w:unhideWhenUsed/>
    <w:rsid w:val="002F55FE"/>
  </w:style>
  <w:style w:type="paragraph" w:styleId="Revision">
    <w:name w:val="Revision"/>
    <w:hidden/>
    <w:uiPriority w:val="99"/>
    <w:semiHidden/>
    <w:rsid w:val="00CC0F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0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1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15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09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51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3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55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47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87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547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534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0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70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98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161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688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8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87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2fd908-345a-4d92-be2c-5b57c4e0d452" xsi:nil="true"/>
    <lcf76f155ced4ddcb4097134ff3c332f xmlns="671c6b3f-330c-455e-aa81-807815f0dba6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DFBACB0B955E42BC0B7D2EDF06D66D" ma:contentTypeVersion="18" ma:contentTypeDescription="Create a new document." ma:contentTypeScope="" ma:versionID="4b159f8298b1879d512bd578410b7b97">
  <xsd:schema xmlns:xsd="http://www.w3.org/2001/XMLSchema" xmlns:xs="http://www.w3.org/2001/XMLSchema" xmlns:p="http://schemas.microsoft.com/office/2006/metadata/properties" xmlns:ns2="671c6b3f-330c-455e-aa81-807815f0dba6" xmlns:ns3="642fd908-345a-4d92-be2c-5b57c4e0d452" targetNamespace="http://schemas.microsoft.com/office/2006/metadata/properties" ma:root="true" ma:fieldsID="4a67ced040f525c4e535e5e414c4dac5" ns2:_="" ns3:_="">
    <xsd:import namespace="671c6b3f-330c-455e-aa81-807815f0dba6"/>
    <xsd:import namespace="642fd908-345a-4d92-be2c-5b57c4e0d4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c6b3f-330c-455e-aa81-807815f0db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a6adba-2eac-494c-a5af-c476fb2379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fd908-345a-4d92-be2c-5b57c4e0d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cb82c0-7993-4967-8037-9c2a9fc76140}" ma:internalName="TaxCatchAll" ma:showField="CatchAllData" ma:web="642fd908-345a-4d92-be2c-5b57c4e0d4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F19916-721F-4157-90B6-CE25C23E21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2CD92E-B54E-6E4D-A01C-D065FA90540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0A03161-BDE3-4B28-9727-8408B9DE3DD4}">
  <ds:schemaRefs>
    <ds:schemaRef ds:uri="http://schemas.microsoft.com/office/2006/metadata/properties"/>
    <ds:schemaRef ds:uri="http://schemas.microsoft.com/office/infopath/2007/PartnerControls"/>
    <ds:schemaRef ds:uri="642fd908-345a-4d92-be2c-5b57c4e0d452"/>
    <ds:schemaRef ds:uri="671c6b3f-330c-455e-aa81-807815f0dba6"/>
  </ds:schemaRefs>
</ds:datastoreItem>
</file>

<file path=customXml/itemProps4.xml><?xml version="1.0" encoding="utf-8"?>
<ds:datastoreItem xmlns:ds="http://schemas.openxmlformats.org/officeDocument/2006/customXml" ds:itemID="{92CC7B70-1134-4EB4-8843-03E88B3958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1c6b3f-330c-455e-aa81-807815f0dba6"/>
    <ds:schemaRef ds:uri="642fd908-345a-4d92-be2c-5b57c4e0d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9</Pages>
  <Words>2252</Words>
  <Characters>12837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Governology T</dc:creator>
  <cp:keywords/>
  <dc:description/>
  <cp:lastModifiedBy>Raniya Dass</cp:lastModifiedBy>
  <cp:revision>7</cp:revision>
  <dcterms:created xsi:type="dcterms:W3CDTF">2026-03-17T04:05:00Z</dcterms:created>
  <dcterms:modified xsi:type="dcterms:W3CDTF">2026-03-17T23:20:00Z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0x0101003FDFBACB0B955E42BC0B7D2EDF06D66D</vt:lpwstr>
  </property>
  <property fmtid="{D5CDD505-2E9C-101B-9397-08002B2CF9AE}" pid="3" name="MediaServiceImageTags">
    <vt:lpwstr/>
  </property>
</Properties>
</file>